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F2301" w14:textId="77777777" w:rsidR="00E27C20" w:rsidRDefault="00E27C20"/>
    <w:p w14:paraId="6C6E9D0D" w14:textId="77777777" w:rsidR="00CC1C63" w:rsidRDefault="00CC1C63"/>
    <w:p w14:paraId="6A8BE4B2" w14:textId="77777777" w:rsidR="00CC1C63" w:rsidRDefault="00CC1C63"/>
    <w:p w14:paraId="6D3CD18E" w14:textId="0EAA9FF4" w:rsidR="00413AEB" w:rsidRPr="00413AEB" w:rsidRDefault="00413AEB" w:rsidP="00413AEB">
      <w:pPr>
        <w:widowControl w:val="0"/>
        <w:autoSpaceDE w:val="0"/>
        <w:autoSpaceDN w:val="0"/>
        <w:adjustRightInd w:val="0"/>
        <w:spacing w:after="240"/>
        <w:rPr>
          <w:rFonts w:cs="Times"/>
          <w:szCs w:val="20"/>
          <w:lang w:val="en-US"/>
        </w:rPr>
      </w:pPr>
      <w:proofErr w:type="spellStart"/>
      <w:r w:rsidRPr="00413AEB">
        <w:rPr>
          <w:rFonts w:cs="Times"/>
          <w:szCs w:val="20"/>
          <w:lang w:val="en-US"/>
        </w:rPr>
        <w:t>QAA</w:t>
      </w:r>
      <w:proofErr w:type="spellEnd"/>
      <w:r w:rsidRPr="00413AEB">
        <w:rPr>
          <w:rFonts w:cs="Times"/>
          <w:szCs w:val="20"/>
          <w:lang w:val="en-US"/>
        </w:rPr>
        <w:t xml:space="preserve"> Higher Education Review (Al</w:t>
      </w:r>
      <w:r>
        <w:rPr>
          <w:rFonts w:cs="Times"/>
          <w:szCs w:val="20"/>
          <w:lang w:val="en-US"/>
        </w:rPr>
        <w:t>ternative Provider), March 2019</w:t>
      </w:r>
      <w:r w:rsidRPr="00413AEB">
        <w:rPr>
          <w:rFonts w:cs="Times"/>
          <w:szCs w:val="20"/>
          <w:lang w:val="en-US"/>
        </w:rPr>
        <w:t xml:space="preserve"> </w:t>
      </w:r>
    </w:p>
    <w:p w14:paraId="325F2B0E" w14:textId="693DB5D3" w:rsidR="002E70E0" w:rsidRDefault="00413AEB" w:rsidP="00413AEB">
      <w:pPr>
        <w:widowControl w:val="0"/>
        <w:autoSpaceDE w:val="0"/>
        <w:autoSpaceDN w:val="0"/>
        <w:adjustRightInd w:val="0"/>
        <w:spacing w:after="240"/>
        <w:rPr>
          <w:rFonts w:cs="Times"/>
          <w:szCs w:val="20"/>
          <w:lang w:val="en-US"/>
        </w:rPr>
      </w:pPr>
      <w:r w:rsidRPr="00413AEB">
        <w:rPr>
          <w:rFonts w:cs="Times"/>
          <w:szCs w:val="20"/>
          <w:lang w:val="en-US"/>
        </w:rPr>
        <w:t xml:space="preserve">Action Plan: </w:t>
      </w:r>
      <w:r>
        <w:rPr>
          <w:rFonts w:cs="Times"/>
          <w:szCs w:val="20"/>
          <w:lang w:val="en-US"/>
        </w:rPr>
        <w:t>Published 13</w:t>
      </w:r>
      <w:r w:rsidRPr="00413AEB">
        <w:rPr>
          <w:rFonts w:cs="Times"/>
          <w:szCs w:val="20"/>
          <w:vertAlign w:val="superscript"/>
          <w:lang w:val="en-US"/>
        </w:rPr>
        <w:t>th</w:t>
      </w:r>
      <w:r>
        <w:rPr>
          <w:rFonts w:cs="Times"/>
          <w:szCs w:val="20"/>
          <w:lang w:val="en-US"/>
        </w:rPr>
        <w:t xml:space="preserve"> September 2019</w:t>
      </w:r>
    </w:p>
    <w:tbl>
      <w:tblPr>
        <w:tblStyle w:val="TableGrid"/>
        <w:tblW w:w="0" w:type="auto"/>
        <w:tblLook w:val="04A0" w:firstRow="1" w:lastRow="0" w:firstColumn="1" w:lastColumn="0" w:noHBand="0" w:noVBand="1"/>
      </w:tblPr>
      <w:tblGrid>
        <w:gridCol w:w="14176"/>
      </w:tblGrid>
      <w:tr w:rsidR="002E70E0" w:rsidRPr="002119FA" w14:paraId="1310A3CC" w14:textId="77777777" w:rsidTr="002A7F05">
        <w:tc>
          <w:tcPr>
            <w:tcW w:w="14176" w:type="dxa"/>
            <w:shd w:val="clear" w:color="auto" w:fill="F2F2F2" w:themeFill="background1" w:themeFillShade="F2"/>
          </w:tcPr>
          <w:p w14:paraId="55A416EF" w14:textId="77777777" w:rsidR="002E70E0" w:rsidRPr="004734F4" w:rsidRDefault="002E70E0" w:rsidP="002A7F05">
            <w:pPr>
              <w:jc w:val="center"/>
              <w:rPr>
                <w:sz w:val="18"/>
                <w:szCs w:val="18"/>
              </w:rPr>
            </w:pPr>
            <w:r w:rsidRPr="004734F4">
              <w:rPr>
                <w:sz w:val="18"/>
                <w:szCs w:val="18"/>
              </w:rPr>
              <w:t>Judgements</w:t>
            </w:r>
          </w:p>
        </w:tc>
      </w:tr>
      <w:tr w:rsidR="002E70E0" w:rsidRPr="002119FA" w14:paraId="079BB849" w14:textId="77777777" w:rsidTr="002A7F05">
        <w:tc>
          <w:tcPr>
            <w:tcW w:w="14176" w:type="dxa"/>
          </w:tcPr>
          <w:p w14:paraId="00687BD7" w14:textId="77777777" w:rsidR="002E70E0" w:rsidRPr="004734F4" w:rsidRDefault="002E70E0" w:rsidP="002A7F05">
            <w:pPr>
              <w:rPr>
                <w:sz w:val="18"/>
                <w:szCs w:val="18"/>
              </w:rPr>
            </w:pPr>
          </w:p>
          <w:p w14:paraId="43639975" w14:textId="77777777" w:rsidR="002E70E0" w:rsidRPr="004734F4" w:rsidRDefault="002E70E0" w:rsidP="002A7F05">
            <w:pPr>
              <w:rPr>
                <w:sz w:val="18"/>
                <w:szCs w:val="18"/>
              </w:rPr>
            </w:pPr>
            <w:r w:rsidRPr="004734F4">
              <w:rPr>
                <w:sz w:val="18"/>
                <w:szCs w:val="18"/>
              </w:rPr>
              <w:t>·               The maintenance of the academic standards of the awards offered on behalf of degree-awarding bodies meets UK expectations</w:t>
            </w:r>
          </w:p>
          <w:p w14:paraId="5F02F9BE" w14:textId="77777777" w:rsidR="002E70E0" w:rsidRPr="004734F4" w:rsidRDefault="002E70E0" w:rsidP="002A7F05">
            <w:pPr>
              <w:rPr>
                <w:sz w:val="18"/>
                <w:szCs w:val="18"/>
              </w:rPr>
            </w:pPr>
            <w:r w:rsidRPr="004734F4">
              <w:rPr>
                <w:sz w:val="18"/>
                <w:szCs w:val="18"/>
              </w:rPr>
              <w:t>·               The quality of student learning opportunities meets UK expectations</w:t>
            </w:r>
          </w:p>
          <w:p w14:paraId="1033C6E4" w14:textId="77777777" w:rsidR="002E70E0" w:rsidRPr="004734F4" w:rsidRDefault="002E70E0" w:rsidP="002A7F05">
            <w:pPr>
              <w:rPr>
                <w:sz w:val="18"/>
                <w:szCs w:val="18"/>
              </w:rPr>
            </w:pPr>
            <w:r w:rsidRPr="004734F4">
              <w:rPr>
                <w:sz w:val="18"/>
                <w:szCs w:val="18"/>
              </w:rPr>
              <w:t>·               The quality of the provider’s information about learning opportunities meets UK expectations</w:t>
            </w:r>
          </w:p>
          <w:p w14:paraId="2D61DCA4" w14:textId="77777777" w:rsidR="002E70E0" w:rsidRPr="004734F4" w:rsidRDefault="002E70E0" w:rsidP="002A7F05">
            <w:pPr>
              <w:rPr>
                <w:sz w:val="18"/>
                <w:szCs w:val="18"/>
              </w:rPr>
            </w:pPr>
            <w:r w:rsidRPr="004734F4">
              <w:rPr>
                <w:sz w:val="18"/>
                <w:szCs w:val="18"/>
              </w:rPr>
              <w:t>·               The enhancement of student learning opportunities meets UK expectations</w:t>
            </w:r>
          </w:p>
          <w:p w14:paraId="1E5A41D1" w14:textId="77777777" w:rsidR="002E70E0" w:rsidRPr="004734F4" w:rsidRDefault="002E70E0" w:rsidP="002A7F05">
            <w:pPr>
              <w:rPr>
                <w:sz w:val="18"/>
                <w:szCs w:val="18"/>
              </w:rPr>
            </w:pPr>
          </w:p>
        </w:tc>
      </w:tr>
    </w:tbl>
    <w:p w14:paraId="1AA46F94" w14:textId="77777777" w:rsidR="00886493" w:rsidRDefault="00886493"/>
    <w:tbl>
      <w:tblPr>
        <w:tblStyle w:val="TableGrid"/>
        <w:tblW w:w="0" w:type="auto"/>
        <w:tblLook w:val="04A0" w:firstRow="1" w:lastRow="0" w:firstColumn="1" w:lastColumn="0" w:noHBand="0" w:noVBand="1"/>
      </w:tblPr>
      <w:tblGrid>
        <w:gridCol w:w="3952"/>
        <w:gridCol w:w="3953"/>
        <w:gridCol w:w="1545"/>
        <w:gridCol w:w="1573"/>
        <w:gridCol w:w="3153"/>
      </w:tblGrid>
      <w:tr w:rsidR="00886493" w:rsidRPr="002119FA" w14:paraId="480AFFA8" w14:textId="77777777" w:rsidTr="00917F40">
        <w:tc>
          <w:tcPr>
            <w:tcW w:w="3952" w:type="dxa"/>
          </w:tcPr>
          <w:p w14:paraId="025EB4FE" w14:textId="754B35CC" w:rsidR="00886493" w:rsidRPr="00C74FF3" w:rsidRDefault="00C74FF3" w:rsidP="002A7F05">
            <w:pPr>
              <w:rPr>
                <w:sz w:val="18"/>
                <w:szCs w:val="18"/>
              </w:rPr>
            </w:pPr>
            <w:r w:rsidRPr="00C74FF3">
              <w:rPr>
                <w:sz w:val="18"/>
                <w:szCs w:val="18"/>
              </w:rPr>
              <w:t xml:space="preserve">Findings </w:t>
            </w:r>
          </w:p>
        </w:tc>
        <w:tc>
          <w:tcPr>
            <w:tcW w:w="3953" w:type="dxa"/>
          </w:tcPr>
          <w:p w14:paraId="06522A60" w14:textId="615BC91F" w:rsidR="00886493" w:rsidRPr="00C74FF3" w:rsidRDefault="00C74FF3" w:rsidP="002A7F05">
            <w:pPr>
              <w:rPr>
                <w:sz w:val="18"/>
                <w:szCs w:val="18"/>
              </w:rPr>
            </w:pPr>
            <w:r>
              <w:rPr>
                <w:sz w:val="18"/>
                <w:szCs w:val="18"/>
              </w:rPr>
              <w:t>Action to be taken</w:t>
            </w:r>
          </w:p>
        </w:tc>
        <w:tc>
          <w:tcPr>
            <w:tcW w:w="1545" w:type="dxa"/>
          </w:tcPr>
          <w:p w14:paraId="19305DE7" w14:textId="193F8766" w:rsidR="00886493" w:rsidRPr="00C74FF3" w:rsidRDefault="00C74FF3" w:rsidP="002A7F05">
            <w:pPr>
              <w:rPr>
                <w:sz w:val="18"/>
                <w:szCs w:val="18"/>
              </w:rPr>
            </w:pPr>
            <w:r>
              <w:rPr>
                <w:sz w:val="18"/>
                <w:szCs w:val="18"/>
              </w:rPr>
              <w:t>Timescale</w:t>
            </w:r>
          </w:p>
        </w:tc>
        <w:tc>
          <w:tcPr>
            <w:tcW w:w="1573" w:type="dxa"/>
          </w:tcPr>
          <w:p w14:paraId="6F8F13CA" w14:textId="1E2AE908" w:rsidR="00886493" w:rsidRPr="00C74FF3" w:rsidRDefault="00C74FF3" w:rsidP="002A7F05">
            <w:pPr>
              <w:rPr>
                <w:sz w:val="18"/>
                <w:szCs w:val="18"/>
              </w:rPr>
            </w:pPr>
            <w:r>
              <w:rPr>
                <w:sz w:val="18"/>
                <w:szCs w:val="18"/>
              </w:rPr>
              <w:t xml:space="preserve">Responsibility </w:t>
            </w:r>
          </w:p>
        </w:tc>
        <w:tc>
          <w:tcPr>
            <w:tcW w:w="3153" w:type="dxa"/>
          </w:tcPr>
          <w:p w14:paraId="5EF715C5" w14:textId="77609856" w:rsidR="00886493" w:rsidRPr="00C74FF3" w:rsidRDefault="00273910" w:rsidP="00273910">
            <w:pPr>
              <w:rPr>
                <w:sz w:val="18"/>
                <w:szCs w:val="18"/>
              </w:rPr>
            </w:pPr>
            <w:r>
              <w:rPr>
                <w:sz w:val="18"/>
                <w:szCs w:val="18"/>
              </w:rPr>
              <w:t>Success i</w:t>
            </w:r>
            <w:r w:rsidR="00C74FF3">
              <w:rPr>
                <w:sz w:val="18"/>
                <w:szCs w:val="18"/>
              </w:rPr>
              <w:t xml:space="preserve">ndicators </w:t>
            </w:r>
            <w:r>
              <w:rPr>
                <w:sz w:val="18"/>
                <w:szCs w:val="18"/>
              </w:rPr>
              <w:t>&amp; evaluation</w:t>
            </w:r>
          </w:p>
        </w:tc>
      </w:tr>
      <w:tr w:rsidR="002E70E0" w:rsidRPr="002119FA" w14:paraId="2C16E2D2" w14:textId="77777777" w:rsidTr="002A7F05">
        <w:tc>
          <w:tcPr>
            <w:tcW w:w="14176" w:type="dxa"/>
            <w:gridSpan w:val="5"/>
            <w:shd w:val="clear" w:color="auto" w:fill="F2F2F2" w:themeFill="background1" w:themeFillShade="F2"/>
          </w:tcPr>
          <w:p w14:paraId="7BF97553" w14:textId="77777777" w:rsidR="002E70E0" w:rsidRPr="004734F4" w:rsidRDefault="002E70E0" w:rsidP="002A7F05">
            <w:pPr>
              <w:jc w:val="center"/>
              <w:rPr>
                <w:sz w:val="18"/>
                <w:szCs w:val="18"/>
              </w:rPr>
            </w:pPr>
            <w:r w:rsidRPr="004734F4">
              <w:rPr>
                <w:sz w:val="18"/>
                <w:szCs w:val="18"/>
              </w:rPr>
              <w:t>Good Practice</w:t>
            </w:r>
          </w:p>
        </w:tc>
      </w:tr>
      <w:tr w:rsidR="002A7F05" w:rsidRPr="002119FA" w14:paraId="091E2F14" w14:textId="77777777" w:rsidTr="00917F40">
        <w:tc>
          <w:tcPr>
            <w:tcW w:w="3952" w:type="dxa"/>
          </w:tcPr>
          <w:p w14:paraId="05085AE6" w14:textId="77777777" w:rsidR="002E70E0" w:rsidRPr="004734F4" w:rsidRDefault="002E70E0" w:rsidP="002A7F05">
            <w:pPr>
              <w:rPr>
                <w:sz w:val="18"/>
                <w:szCs w:val="18"/>
              </w:rPr>
            </w:pPr>
            <w:r w:rsidRPr="004734F4">
              <w:rPr>
                <w:sz w:val="18"/>
                <w:szCs w:val="18"/>
              </w:rPr>
              <w:t>The strong industry links which enrich the students' learning experience and strengthen employability (Expectation B4)</w:t>
            </w:r>
          </w:p>
        </w:tc>
        <w:tc>
          <w:tcPr>
            <w:tcW w:w="3953" w:type="dxa"/>
          </w:tcPr>
          <w:p w14:paraId="380F3863" w14:textId="649080D9" w:rsidR="002E70E0" w:rsidRDefault="002A7F05" w:rsidP="00A668D3">
            <w:pPr>
              <w:rPr>
                <w:sz w:val="18"/>
                <w:szCs w:val="18"/>
              </w:rPr>
            </w:pPr>
            <w:r>
              <w:rPr>
                <w:sz w:val="18"/>
                <w:szCs w:val="18"/>
              </w:rPr>
              <w:t>Continue to develop industry links</w:t>
            </w:r>
            <w:r w:rsidR="00244E2E">
              <w:rPr>
                <w:sz w:val="18"/>
                <w:szCs w:val="18"/>
              </w:rPr>
              <w:t xml:space="preserve"> through arrangements for </w:t>
            </w:r>
            <w:r w:rsidR="00A668D3">
              <w:rPr>
                <w:sz w:val="18"/>
                <w:szCs w:val="18"/>
              </w:rPr>
              <w:t xml:space="preserve">guest speakers/visiting lecturers, then engagement of our colleagues within the wider organisation of Condé Nast, and the provision of </w:t>
            </w:r>
            <w:r w:rsidR="00244E2E">
              <w:rPr>
                <w:sz w:val="18"/>
                <w:szCs w:val="18"/>
              </w:rPr>
              <w:t>unique industry</w:t>
            </w:r>
            <w:r w:rsidR="00A668D3">
              <w:rPr>
                <w:sz w:val="18"/>
                <w:szCs w:val="18"/>
              </w:rPr>
              <w:t>-based</w:t>
            </w:r>
            <w:r w:rsidR="00244E2E">
              <w:rPr>
                <w:sz w:val="18"/>
                <w:szCs w:val="18"/>
              </w:rPr>
              <w:t xml:space="preserve"> experiences. </w:t>
            </w:r>
          </w:p>
          <w:p w14:paraId="16ABF6CD" w14:textId="77777777" w:rsidR="00A668D3" w:rsidRDefault="00A668D3" w:rsidP="00A668D3">
            <w:pPr>
              <w:rPr>
                <w:sz w:val="18"/>
                <w:szCs w:val="18"/>
              </w:rPr>
            </w:pPr>
          </w:p>
          <w:p w14:paraId="2A05405C" w14:textId="4C2275EC" w:rsidR="00A668D3" w:rsidRDefault="00A668D3" w:rsidP="00273910">
            <w:pPr>
              <w:rPr>
                <w:sz w:val="18"/>
                <w:szCs w:val="18"/>
              </w:rPr>
            </w:pPr>
            <w:r>
              <w:rPr>
                <w:sz w:val="18"/>
                <w:szCs w:val="18"/>
              </w:rPr>
              <w:t xml:space="preserve">Continue to </w:t>
            </w:r>
            <w:r w:rsidR="00273910">
              <w:rPr>
                <w:sz w:val="18"/>
                <w:szCs w:val="18"/>
              </w:rPr>
              <w:t xml:space="preserve">embed industry practice in to the curriculum </w:t>
            </w:r>
            <w:r>
              <w:rPr>
                <w:sz w:val="18"/>
                <w:szCs w:val="18"/>
              </w:rPr>
              <w:t>th</w:t>
            </w:r>
            <w:r w:rsidR="00F67DC2">
              <w:rPr>
                <w:sz w:val="18"/>
                <w:szCs w:val="18"/>
              </w:rPr>
              <w:t xml:space="preserve">rough the use of industry </w:t>
            </w:r>
            <w:r>
              <w:rPr>
                <w:sz w:val="18"/>
                <w:szCs w:val="18"/>
              </w:rPr>
              <w:t xml:space="preserve">relevant activities </w:t>
            </w:r>
            <w:r w:rsidR="00273910">
              <w:rPr>
                <w:sz w:val="18"/>
                <w:szCs w:val="18"/>
              </w:rPr>
              <w:t xml:space="preserve">and </w:t>
            </w:r>
            <w:r w:rsidR="00F67DC2">
              <w:rPr>
                <w:sz w:val="18"/>
                <w:szCs w:val="18"/>
              </w:rPr>
              <w:t>project-based</w:t>
            </w:r>
            <w:r w:rsidR="00273910">
              <w:rPr>
                <w:sz w:val="18"/>
                <w:szCs w:val="18"/>
              </w:rPr>
              <w:t xml:space="preserve"> assessment that follows industry approved or set briefs. </w:t>
            </w:r>
          </w:p>
          <w:p w14:paraId="2682D986" w14:textId="77777777" w:rsidR="00273910" w:rsidRDefault="00273910" w:rsidP="00273910">
            <w:pPr>
              <w:rPr>
                <w:sz w:val="18"/>
                <w:szCs w:val="18"/>
              </w:rPr>
            </w:pPr>
          </w:p>
          <w:p w14:paraId="2C93DD68" w14:textId="653F3EA8" w:rsidR="00273910" w:rsidRPr="004734F4" w:rsidRDefault="00273910" w:rsidP="008B7DCC">
            <w:pPr>
              <w:rPr>
                <w:sz w:val="18"/>
                <w:szCs w:val="18"/>
              </w:rPr>
            </w:pPr>
            <w:r>
              <w:rPr>
                <w:sz w:val="18"/>
                <w:szCs w:val="18"/>
              </w:rPr>
              <w:t xml:space="preserve">Continue to focus on </w:t>
            </w:r>
            <w:r w:rsidR="00C65F8F">
              <w:rPr>
                <w:sz w:val="18"/>
                <w:szCs w:val="18"/>
              </w:rPr>
              <w:t xml:space="preserve">the </w:t>
            </w:r>
            <w:r>
              <w:rPr>
                <w:sz w:val="18"/>
                <w:szCs w:val="18"/>
              </w:rPr>
              <w:t>employability</w:t>
            </w:r>
            <w:r w:rsidR="00C65F8F">
              <w:rPr>
                <w:sz w:val="18"/>
                <w:szCs w:val="18"/>
              </w:rPr>
              <w:t xml:space="preserve"> underlined within the industry placement modules, including strengthening </w:t>
            </w:r>
            <w:r w:rsidR="008B7DCC">
              <w:rPr>
                <w:sz w:val="18"/>
                <w:szCs w:val="18"/>
              </w:rPr>
              <w:t>relationships</w:t>
            </w:r>
            <w:r w:rsidR="00C65F8F">
              <w:rPr>
                <w:sz w:val="18"/>
                <w:szCs w:val="18"/>
              </w:rPr>
              <w:t xml:space="preserve"> </w:t>
            </w:r>
            <w:r w:rsidR="008B7DCC">
              <w:rPr>
                <w:sz w:val="18"/>
                <w:szCs w:val="18"/>
              </w:rPr>
              <w:t xml:space="preserve">with placement providers. </w:t>
            </w:r>
          </w:p>
        </w:tc>
        <w:tc>
          <w:tcPr>
            <w:tcW w:w="1545" w:type="dxa"/>
          </w:tcPr>
          <w:p w14:paraId="3FA1ACEF" w14:textId="57444518" w:rsidR="002E70E0" w:rsidRPr="004734F4" w:rsidRDefault="00273910" w:rsidP="002A7F05">
            <w:pPr>
              <w:rPr>
                <w:sz w:val="18"/>
                <w:szCs w:val="18"/>
              </w:rPr>
            </w:pPr>
            <w:r>
              <w:rPr>
                <w:sz w:val="18"/>
                <w:szCs w:val="18"/>
              </w:rPr>
              <w:t>On</w:t>
            </w:r>
            <w:r w:rsidR="00F67DC2">
              <w:rPr>
                <w:sz w:val="18"/>
                <w:szCs w:val="18"/>
              </w:rPr>
              <w:t>-</w:t>
            </w:r>
            <w:r>
              <w:rPr>
                <w:sz w:val="18"/>
                <w:szCs w:val="18"/>
              </w:rPr>
              <w:t xml:space="preserve">going </w:t>
            </w:r>
          </w:p>
        </w:tc>
        <w:tc>
          <w:tcPr>
            <w:tcW w:w="1573" w:type="dxa"/>
          </w:tcPr>
          <w:p w14:paraId="3874119C" w14:textId="1E2CD752" w:rsidR="002E70E0" w:rsidRPr="004734F4" w:rsidRDefault="00273910" w:rsidP="00C65F8F">
            <w:pPr>
              <w:rPr>
                <w:sz w:val="18"/>
                <w:szCs w:val="18"/>
              </w:rPr>
            </w:pPr>
            <w:r>
              <w:rPr>
                <w:sz w:val="18"/>
                <w:szCs w:val="18"/>
              </w:rPr>
              <w:t xml:space="preserve">Ultimately the Dean will be responsible for ensuring this good practice continues. This will achieved with the support of the wider team, including: Marketing Manager (Outreach), Programme Directors, </w:t>
            </w:r>
            <w:r w:rsidR="00C65F8F">
              <w:rPr>
                <w:sz w:val="18"/>
                <w:szCs w:val="18"/>
              </w:rPr>
              <w:t xml:space="preserve">Careers Advisors, </w:t>
            </w:r>
            <w:r>
              <w:rPr>
                <w:sz w:val="18"/>
                <w:szCs w:val="18"/>
              </w:rPr>
              <w:t>and Module Leaders</w:t>
            </w:r>
          </w:p>
        </w:tc>
        <w:tc>
          <w:tcPr>
            <w:tcW w:w="3153" w:type="dxa"/>
          </w:tcPr>
          <w:p w14:paraId="2576FF6D" w14:textId="7080186E" w:rsidR="00557BF6" w:rsidRDefault="003B6D26" w:rsidP="003B6D26">
            <w:pPr>
              <w:rPr>
                <w:sz w:val="18"/>
                <w:szCs w:val="18"/>
              </w:rPr>
            </w:pPr>
            <w:r>
              <w:rPr>
                <w:sz w:val="18"/>
                <w:szCs w:val="18"/>
              </w:rPr>
              <w:t>Securing industry speakers throughout</w:t>
            </w:r>
            <w:r w:rsidR="00557BF6">
              <w:rPr>
                <w:sz w:val="18"/>
                <w:szCs w:val="18"/>
              </w:rPr>
              <w:t xml:space="preserve"> the year, with the calibre and frequency of industry speakers evidenced within student schedules.</w:t>
            </w:r>
          </w:p>
          <w:p w14:paraId="4E8E2DEE" w14:textId="77777777" w:rsidR="00557BF6" w:rsidRDefault="00557BF6" w:rsidP="003B6D26">
            <w:pPr>
              <w:rPr>
                <w:sz w:val="18"/>
                <w:szCs w:val="18"/>
              </w:rPr>
            </w:pPr>
          </w:p>
          <w:p w14:paraId="6C17F236" w14:textId="30C3339D" w:rsidR="002E70E0" w:rsidRDefault="00557BF6" w:rsidP="003B6D26">
            <w:pPr>
              <w:rPr>
                <w:sz w:val="18"/>
                <w:szCs w:val="18"/>
              </w:rPr>
            </w:pPr>
            <w:r>
              <w:rPr>
                <w:sz w:val="18"/>
                <w:szCs w:val="18"/>
              </w:rPr>
              <w:t>A</w:t>
            </w:r>
            <w:r w:rsidR="003B6D26">
              <w:rPr>
                <w:sz w:val="18"/>
                <w:szCs w:val="18"/>
              </w:rPr>
              <w:t>rranging a sele</w:t>
            </w:r>
            <w:r>
              <w:rPr>
                <w:sz w:val="18"/>
                <w:szCs w:val="18"/>
              </w:rPr>
              <w:t xml:space="preserve">ction of industry-set projects for relevant modules. Evaluation will be within module reports and as part of External Examiner visits. </w:t>
            </w:r>
          </w:p>
          <w:p w14:paraId="6DB3FB86" w14:textId="77777777" w:rsidR="00557BF6" w:rsidRDefault="00557BF6" w:rsidP="003B6D26">
            <w:pPr>
              <w:rPr>
                <w:sz w:val="18"/>
                <w:szCs w:val="18"/>
              </w:rPr>
            </w:pPr>
          </w:p>
          <w:p w14:paraId="0EBB751E" w14:textId="77777777" w:rsidR="00557BF6" w:rsidRDefault="00557BF6" w:rsidP="00A51D62">
            <w:pPr>
              <w:rPr>
                <w:sz w:val="18"/>
                <w:szCs w:val="18"/>
              </w:rPr>
            </w:pPr>
            <w:r>
              <w:rPr>
                <w:sz w:val="18"/>
                <w:szCs w:val="18"/>
              </w:rPr>
              <w:t>Supporting high quality student placements</w:t>
            </w:r>
            <w:r w:rsidR="00A51D62">
              <w:rPr>
                <w:sz w:val="18"/>
                <w:szCs w:val="18"/>
              </w:rPr>
              <w:t xml:space="preserve">, evidenced in submitted reflective accounts by students and as part of related module evaluations. </w:t>
            </w:r>
          </w:p>
          <w:p w14:paraId="4888A85C" w14:textId="77777777" w:rsidR="008A6471" w:rsidRDefault="008A6471" w:rsidP="00A51D62">
            <w:pPr>
              <w:rPr>
                <w:sz w:val="18"/>
                <w:szCs w:val="18"/>
              </w:rPr>
            </w:pPr>
          </w:p>
          <w:p w14:paraId="202C19A3" w14:textId="56E0444D" w:rsidR="008A6471" w:rsidRDefault="008A6471" w:rsidP="00A51D62">
            <w:pPr>
              <w:rPr>
                <w:sz w:val="18"/>
                <w:szCs w:val="18"/>
              </w:rPr>
            </w:pPr>
            <w:r>
              <w:rPr>
                <w:sz w:val="18"/>
                <w:szCs w:val="18"/>
              </w:rPr>
              <w:t xml:space="preserve">Collation of employment </w:t>
            </w:r>
            <w:r>
              <w:rPr>
                <w:sz w:val="18"/>
                <w:szCs w:val="18"/>
              </w:rPr>
              <w:lastRenderedPageBreak/>
              <w:t xml:space="preserve">destination information and end of course student feedback. </w:t>
            </w:r>
          </w:p>
          <w:p w14:paraId="57D45DC5" w14:textId="25BEB4D5" w:rsidR="008A6471" w:rsidRPr="004734F4" w:rsidRDefault="008A6471" w:rsidP="00A51D62">
            <w:pPr>
              <w:rPr>
                <w:sz w:val="18"/>
                <w:szCs w:val="18"/>
              </w:rPr>
            </w:pPr>
          </w:p>
        </w:tc>
      </w:tr>
      <w:tr w:rsidR="002E70E0" w:rsidRPr="002119FA" w14:paraId="4669DECD" w14:textId="77777777" w:rsidTr="002A7F05">
        <w:tc>
          <w:tcPr>
            <w:tcW w:w="14176" w:type="dxa"/>
            <w:gridSpan w:val="5"/>
            <w:shd w:val="clear" w:color="auto" w:fill="F2F2F2" w:themeFill="background1" w:themeFillShade="F2"/>
          </w:tcPr>
          <w:p w14:paraId="6600C3F1" w14:textId="6131CCE4" w:rsidR="002E70E0" w:rsidRPr="004734F4" w:rsidRDefault="002E70E0" w:rsidP="002A7F05">
            <w:pPr>
              <w:jc w:val="center"/>
              <w:rPr>
                <w:sz w:val="18"/>
                <w:szCs w:val="18"/>
              </w:rPr>
            </w:pPr>
            <w:r w:rsidRPr="004734F4">
              <w:rPr>
                <w:sz w:val="18"/>
                <w:szCs w:val="18"/>
              </w:rPr>
              <w:lastRenderedPageBreak/>
              <w:t>Recommendations</w:t>
            </w:r>
          </w:p>
        </w:tc>
      </w:tr>
      <w:tr w:rsidR="002E70E0" w:rsidRPr="002119FA" w14:paraId="3C032A01" w14:textId="77777777" w:rsidTr="00917F40">
        <w:tc>
          <w:tcPr>
            <w:tcW w:w="3952" w:type="dxa"/>
          </w:tcPr>
          <w:p w14:paraId="669527AD" w14:textId="77777777" w:rsidR="002E70E0" w:rsidRPr="004734F4" w:rsidRDefault="002E70E0" w:rsidP="002A7F05">
            <w:pPr>
              <w:rPr>
                <w:sz w:val="18"/>
                <w:szCs w:val="18"/>
              </w:rPr>
            </w:pPr>
            <w:r w:rsidRPr="004734F4">
              <w:rPr>
                <w:sz w:val="18"/>
                <w:szCs w:val="18"/>
              </w:rPr>
              <w:t>Formulate a staff development policy that articulates the College's approach towards supporting learning, teaching and assessment (Expectation B3)</w:t>
            </w:r>
          </w:p>
        </w:tc>
        <w:tc>
          <w:tcPr>
            <w:tcW w:w="3953" w:type="dxa"/>
          </w:tcPr>
          <w:p w14:paraId="620355A8" w14:textId="77777777" w:rsidR="002E70E0" w:rsidRDefault="005954EB" w:rsidP="005954EB">
            <w:pPr>
              <w:rPr>
                <w:sz w:val="18"/>
                <w:szCs w:val="18"/>
              </w:rPr>
            </w:pPr>
            <w:r>
              <w:rPr>
                <w:sz w:val="18"/>
                <w:szCs w:val="18"/>
              </w:rPr>
              <w:t xml:space="preserve">Create a specific policy that formally articulates how the College and company supports staff development. </w:t>
            </w:r>
          </w:p>
          <w:p w14:paraId="34FA053E" w14:textId="77777777" w:rsidR="003B198D" w:rsidRDefault="003B198D" w:rsidP="005954EB">
            <w:pPr>
              <w:rPr>
                <w:sz w:val="18"/>
                <w:szCs w:val="18"/>
              </w:rPr>
            </w:pPr>
          </w:p>
          <w:p w14:paraId="03200373" w14:textId="31CD232D" w:rsidR="003B198D" w:rsidRPr="004734F4" w:rsidRDefault="00E551D2" w:rsidP="005954EB">
            <w:pPr>
              <w:rPr>
                <w:sz w:val="18"/>
                <w:szCs w:val="18"/>
              </w:rPr>
            </w:pPr>
            <w:r>
              <w:rPr>
                <w:sz w:val="18"/>
                <w:szCs w:val="18"/>
              </w:rPr>
              <w:t xml:space="preserve">The new Policy </w:t>
            </w:r>
            <w:r w:rsidR="003B198D">
              <w:rPr>
                <w:sz w:val="18"/>
                <w:szCs w:val="18"/>
              </w:rPr>
              <w:t>will be presented at the College Staff Forum on</w:t>
            </w:r>
            <w:r w:rsidR="00F96D15">
              <w:rPr>
                <w:sz w:val="18"/>
                <w:szCs w:val="18"/>
              </w:rPr>
              <w:t xml:space="preserve"> Thursday 19</w:t>
            </w:r>
            <w:r w:rsidR="00F96D15" w:rsidRPr="00F96D15">
              <w:rPr>
                <w:sz w:val="18"/>
                <w:szCs w:val="18"/>
                <w:vertAlign w:val="superscript"/>
              </w:rPr>
              <w:t>th</w:t>
            </w:r>
            <w:r w:rsidR="00F96D15">
              <w:rPr>
                <w:sz w:val="18"/>
                <w:szCs w:val="18"/>
              </w:rPr>
              <w:t xml:space="preserve"> September</w:t>
            </w:r>
            <w:r>
              <w:rPr>
                <w:sz w:val="18"/>
                <w:szCs w:val="18"/>
              </w:rPr>
              <w:t xml:space="preserve"> and uploaded to the College shared drive</w:t>
            </w:r>
            <w:r w:rsidR="00DA1726">
              <w:rPr>
                <w:sz w:val="18"/>
                <w:szCs w:val="18"/>
              </w:rPr>
              <w:t>, for all staff to access,</w:t>
            </w:r>
            <w:r>
              <w:rPr>
                <w:sz w:val="18"/>
                <w:szCs w:val="18"/>
              </w:rPr>
              <w:t xml:space="preserve"> on the same day</w:t>
            </w:r>
            <w:r w:rsidR="00493E7F">
              <w:rPr>
                <w:sz w:val="18"/>
                <w:szCs w:val="18"/>
              </w:rPr>
              <w:t xml:space="preserve">. </w:t>
            </w:r>
          </w:p>
        </w:tc>
        <w:tc>
          <w:tcPr>
            <w:tcW w:w="1545" w:type="dxa"/>
          </w:tcPr>
          <w:p w14:paraId="7E30FFF5" w14:textId="55ACA4E7" w:rsidR="002E70E0" w:rsidRPr="004734F4" w:rsidRDefault="005954EB" w:rsidP="002A7F05">
            <w:pPr>
              <w:rPr>
                <w:sz w:val="18"/>
                <w:szCs w:val="18"/>
              </w:rPr>
            </w:pPr>
            <w:r>
              <w:rPr>
                <w:sz w:val="18"/>
                <w:szCs w:val="18"/>
              </w:rPr>
              <w:t>September 2019</w:t>
            </w:r>
          </w:p>
        </w:tc>
        <w:tc>
          <w:tcPr>
            <w:tcW w:w="1573" w:type="dxa"/>
          </w:tcPr>
          <w:p w14:paraId="38D84827" w14:textId="2AA954E2" w:rsidR="002E70E0" w:rsidRPr="004734F4" w:rsidRDefault="00D93D3D" w:rsidP="00D93D3D">
            <w:pPr>
              <w:rPr>
                <w:sz w:val="18"/>
                <w:szCs w:val="18"/>
              </w:rPr>
            </w:pPr>
            <w:r>
              <w:rPr>
                <w:sz w:val="18"/>
                <w:szCs w:val="18"/>
              </w:rPr>
              <w:t>Dean</w:t>
            </w:r>
          </w:p>
        </w:tc>
        <w:tc>
          <w:tcPr>
            <w:tcW w:w="3153" w:type="dxa"/>
          </w:tcPr>
          <w:p w14:paraId="6B8C910C" w14:textId="71DE1148" w:rsidR="00E530AF" w:rsidRDefault="00AA4B82" w:rsidP="002A7F05">
            <w:pPr>
              <w:rPr>
                <w:sz w:val="18"/>
                <w:szCs w:val="18"/>
              </w:rPr>
            </w:pPr>
            <w:proofErr w:type="gramStart"/>
            <w:r>
              <w:rPr>
                <w:sz w:val="18"/>
                <w:szCs w:val="18"/>
              </w:rPr>
              <w:t xml:space="preserve">The suitability of the Staff Development </w:t>
            </w:r>
            <w:r w:rsidR="00163322">
              <w:rPr>
                <w:sz w:val="18"/>
                <w:szCs w:val="18"/>
              </w:rPr>
              <w:t xml:space="preserve">Policy </w:t>
            </w:r>
            <w:r>
              <w:rPr>
                <w:sz w:val="18"/>
                <w:szCs w:val="18"/>
              </w:rPr>
              <w:t xml:space="preserve">will be </w:t>
            </w:r>
            <w:r w:rsidR="00163322">
              <w:rPr>
                <w:sz w:val="18"/>
                <w:szCs w:val="18"/>
              </w:rPr>
              <w:t>evaluated by line managers</w:t>
            </w:r>
            <w:proofErr w:type="gramEnd"/>
            <w:r w:rsidR="00163322">
              <w:rPr>
                <w:sz w:val="18"/>
                <w:szCs w:val="18"/>
              </w:rPr>
              <w:t xml:space="preserve"> as part of the Milestone process, with any issues highlighted in senior management meetings. </w:t>
            </w:r>
            <w:r w:rsidR="001B34E7">
              <w:rPr>
                <w:sz w:val="18"/>
                <w:szCs w:val="18"/>
              </w:rPr>
              <w:t xml:space="preserve">Employees are advised </w:t>
            </w:r>
            <w:r w:rsidR="00F25851">
              <w:rPr>
                <w:sz w:val="18"/>
                <w:szCs w:val="18"/>
              </w:rPr>
              <w:t xml:space="preserve">to raise any concerns over the suitability of the policy directly with their line manager or within the quarterly staff forums. </w:t>
            </w:r>
          </w:p>
          <w:p w14:paraId="0AA57153" w14:textId="77777777" w:rsidR="00E530AF" w:rsidRDefault="00E530AF" w:rsidP="002A7F05">
            <w:pPr>
              <w:rPr>
                <w:sz w:val="18"/>
                <w:szCs w:val="18"/>
              </w:rPr>
            </w:pPr>
          </w:p>
          <w:p w14:paraId="5C54CB2B" w14:textId="40348F33" w:rsidR="002E70E0" w:rsidRPr="004734F4" w:rsidRDefault="00163322" w:rsidP="00163322">
            <w:pPr>
              <w:rPr>
                <w:sz w:val="18"/>
                <w:szCs w:val="18"/>
              </w:rPr>
            </w:pPr>
            <w:r>
              <w:rPr>
                <w:sz w:val="18"/>
                <w:szCs w:val="18"/>
              </w:rPr>
              <w:t xml:space="preserve">The </w:t>
            </w:r>
            <w:r w:rsidR="001A13ED">
              <w:rPr>
                <w:sz w:val="18"/>
                <w:szCs w:val="18"/>
              </w:rPr>
              <w:t xml:space="preserve">formal </w:t>
            </w:r>
            <w:r>
              <w:rPr>
                <w:sz w:val="18"/>
                <w:szCs w:val="18"/>
              </w:rPr>
              <w:t>policy</w:t>
            </w:r>
            <w:r w:rsidR="00807602">
              <w:rPr>
                <w:sz w:val="18"/>
                <w:szCs w:val="18"/>
              </w:rPr>
              <w:t xml:space="preserve"> </w:t>
            </w:r>
            <w:r>
              <w:rPr>
                <w:sz w:val="18"/>
                <w:szCs w:val="18"/>
              </w:rPr>
              <w:t xml:space="preserve">will then be </w:t>
            </w:r>
            <w:r w:rsidR="00807602">
              <w:rPr>
                <w:sz w:val="18"/>
                <w:szCs w:val="18"/>
              </w:rPr>
              <w:t>reviewed annually</w:t>
            </w:r>
            <w:r w:rsidR="002165F6">
              <w:rPr>
                <w:sz w:val="18"/>
                <w:szCs w:val="18"/>
              </w:rPr>
              <w:t>,</w:t>
            </w:r>
            <w:r w:rsidR="00807602">
              <w:rPr>
                <w:sz w:val="18"/>
                <w:szCs w:val="18"/>
              </w:rPr>
              <w:t xml:space="preserve"> in line with annual reporting and governance processes. </w:t>
            </w:r>
          </w:p>
        </w:tc>
      </w:tr>
      <w:tr w:rsidR="002E70E0" w:rsidRPr="002119FA" w14:paraId="28C7057E" w14:textId="77777777" w:rsidTr="002A7F05">
        <w:tc>
          <w:tcPr>
            <w:tcW w:w="14176" w:type="dxa"/>
            <w:gridSpan w:val="5"/>
            <w:shd w:val="clear" w:color="auto" w:fill="F2F2F2" w:themeFill="background1" w:themeFillShade="F2"/>
          </w:tcPr>
          <w:p w14:paraId="606F4C17" w14:textId="77777777" w:rsidR="002E70E0" w:rsidRPr="004734F4" w:rsidRDefault="002E70E0" w:rsidP="002A7F05">
            <w:pPr>
              <w:jc w:val="center"/>
              <w:rPr>
                <w:sz w:val="18"/>
                <w:szCs w:val="18"/>
              </w:rPr>
            </w:pPr>
            <w:r w:rsidRPr="004734F4">
              <w:rPr>
                <w:sz w:val="18"/>
                <w:szCs w:val="18"/>
              </w:rPr>
              <w:t>Affirmations</w:t>
            </w:r>
          </w:p>
        </w:tc>
      </w:tr>
      <w:tr w:rsidR="002E70E0" w:rsidRPr="002119FA" w14:paraId="3A93D186" w14:textId="77777777" w:rsidTr="00917F40">
        <w:tc>
          <w:tcPr>
            <w:tcW w:w="3952" w:type="dxa"/>
          </w:tcPr>
          <w:p w14:paraId="762A8544" w14:textId="77777777" w:rsidR="002E70E0" w:rsidRPr="004734F4" w:rsidRDefault="002E70E0" w:rsidP="002A7F05">
            <w:pPr>
              <w:rPr>
                <w:sz w:val="18"/>
                <w:szCs w:val="18"/>
              </w:rPr>
            </w:pPr>
            <w:r w:rsidRPr="004734F4">
              <w:rPr>
                <w:sz w:val="18"/>
                <w:szCs w:val="18"/>
              </w:rPr>
              <w:t>The steps the College is taking to formalise the staff appraisal process (Expectation B3)</w:t>
            </w:r>
          </w:p>
        </w:tc>
        <w:tc>
          <w:tcPr>
            <w:tcW w:w="3953" w:type="dxa"/>
          </w:tcPr>
          <w:p w14:paraId="6F648105" w14:textId="7A2C955B" w:rsidR="002E70E0" w:rsidRDefault="00D93D3D" w:rsidP="00C40585">
            <w:pPr>
              <w:rPr>
                <w:sz w:val="18"/>
                <w:szCs w:val="18"/>
              </w:rPr>
            </w:pPr>
            <w:r>
              <w:rPr>
                <w:sz w:val="18"/>
                <w:szCs w:val="18"/>
              </w:rPr>
              <w:t xml:space="preserve">The College has always had a formal </w:t>
            </w:r>
            <w:r w:rsidR="00C40585">
              <w:rPr>
                <w:sz w:val="18"/>
                <w:szCs w:val="18"/>
              </w:rPr>
              <w:t>appraisal process. At the time of the HER this was changing from one annual format to another</w:t>
            </w:r>
            <w:r w:rsidR="002F0448">
              <w:rPr>
                <w:sz w:val="18"/>
                <w:szCs w:val="18"/>
              </w:rPr>
              <w:t>,</w:t>
            </w:r>
            <w:r w:rsidR="00C40585">
              <w:rPr>
                <w:sz w:val="18"/>
                <w:szCs w:val="18"/>
              </w:rPr>
              <w:t xml:space="preserve"> more comprehensive approach that would bring the College in line with new company practice within Condé Nast International. </w:t>
            </w:r>
          </w:p>
          <w:p w14:paraId="5AD08A44" w14:textId="77777777" w:rsidR="006635DF" w:rsidRDefault="006635DF" w:rsidP="00B937A1">
            <w:pPr>
              <w:rPr>
                <w:sz w:val="18"/>
                <w:szCs w:val="18"/>
              </w:rPr>
            </w:pPr>
          </w:p>
          <w:p w14:paraId="7C5B2C4E" w14:textId="5BCE300D" w:rsidR="005D6932" w:rsidRDefault="005D6932" w:rsidP="00B937A1">
            <w:pPr>
              <w:rPr>
                <w:sz w:val="18"/>
                <w:szCs w:val="18"/>
              </w:rPr>
            </w:pPr>
            <w:r>
              <w:rPr>
                <w:sz w:val="18"/>
                <w:szCs w:val="18"/>
              </w:rPr>
              <w:t xml:space="preserve">The action to be taken is to ensure this new </w:t>
            </w:r>
            <w:r w:rsidR="002F0448">
              <w:rPr>
                <w:sz w:val="18"/>
                <w:szCs w:val="18"/>
              </w:rPr>
              <w:t xml:space="preserve">comprehensive and employee-centred </w:t>
            </w:r>
            <w:r>
              <w:rPr>
                <w:sz w:val="18"/>
                <w:szCs w:val="18"/>
              </w:rPr>
              <w:t>‘Milestone’ approach is adopted fully within the College</w:t>
            </w:r>
            <w:r w:rsidR="00B937A1">
              <w:rPr>
                <w:sz w:val="18"/>
                <w:szCs w:val="18"/>
              </w:rPr>
              <w:t xml:space="preserve">, including ensuring staff and line managers are fully aware of the process through: </w:t>
            </w:r>
          </w:p>
          <w:p w14:paraId="14B08F84" w14:textId="77777777" w:rsidR="00B937A1" w:rsidRDefault="00B937A1" w:rsidP="00B937A1">
            <w:pPr>
              <w:pStyle w:val="ListParagraph"/>
              <w:numPr>
                <w:ilvl w:val="0"/>
                <w:numId w:val="11"/>
              </w:numPr>
              <w:rPr>
                <w:sz w:val="18"/>
                <w:szCs w:val="18"/>
              </w:rPr>
            </w:pPr>
            <w:r>
              <w:rPr>
                <w:sz w:val="18"/>
                <w:szCs w:val="18"/>
              </w:rPr>
              <w:t xml:space="preserve">Circulating forms and guidance </w:t>
            </w:r>
          </w:p>
          <w:p w14:paraId="432A4E73" w14:textId="77777777" w:rsidR="001F2FA7" w:rsidRDefault="001F2FA7" w:rsidP="001F2FA7">
            <w:pPr>
              <w:pStyle w:val="ListParagraph"/>
              <w:numPr>
                <w:ilvl w:val="0"/>
                <w:numId w:val="11"/>
              </w:numPr>
              <w:rPr>
                <w:sz w:val="18"/>
                <w:szCs w:val="18"/>
              </w:rPr>
            </w:pPr>
            <w:r>
              <w:rPr>
                <w:sz w:val="18"/>
                <w:szCs w:val="18"/>
              </w:rPr>
              <w:t xml:space="preserve">Encouraging staff to utilise company ‘Working at </w:t>
            </w:r>
            <w:proofErr w:type="spellStart"/>
            <w:r>
              <w:rPr>
                <w:sz w:val="18"/>
                <w:szCs w:val="18"/>
              </w:rPr>
              <w:t>CNI</w:t>
            </w:r>
            <w:proofErr w:type="spellEnd"/>
            <w:r>
              <w:rPr>
                <w:sz w:val="18"/>
                <w:szCs w:val="18"/>
              </w:rPr>
              <w:t xml:space="preserve">’ pages </w:t>
            </w:r>
          </w:p>
          <w:p w14:paraId="68B89837" w14:textId="1784715F" w:rsidR="001F2FA7" w:rsidRDefault="001F2FA7" w:rsidP="00B937A1">
            <w:pPr>
              <w:pStyle w:val="ListParagraph"/>
              <w:numPr>
                <w:ilvl w:val="0"/>
                <w:numId w:val="11"/>
              </w:numPr>
              <w:rPr>
                <w:sz w:val="18"/>
                <w:szCs w:val="18"/>
              </w:rPr>
            </w:pPr>
            <w:r>
              <w:rPr>
                <w:sz w:val="18"/>
                <w:szCs w:val="18"/>
              </w:rPr>
              <w:t>Signposting to the launch video that explains the Milestone approach</w:t>
            </w:r>
          </w:p>
          <w:p w14:paraId="71BD8FFE" w14:textId="77777777" w:rsidR="001F2FA7" w:rsidRDefault="00B24819" w:rsidP="00B24819">
            <w:pPr>
              <w:pStyle w:val="ListParagraph"/>
              <w:numPr>
                <w:ilvl w:val="0"/>
                <w:numId w:val="11"/>
              </w:numPr>
              <w:rPr>
                <w:sz w:val="18"/>
                <w:szCs w:val="18"/>
              </w:rPr>
            </w:pPr>
            <w:r>
              <w:rPr>
                <w:sz w:val="18"/>
                <w:szCs w:val="18"/>
              </w:rPr>
              <w:lastRenderedPageBreak/>
              <w:t xml:space="preserve">Issuing </w:t>
            </w:r>
            <w:r w:rsidR="00B937A1">
              <w:rPr>
                <w:sz w:val="18"/>
                <w:szCs w:val="18"/>
              </w:rPr>
              <w:t xml:space="preserve">reminders to book quarterly Milestone meetings </w:t>
            </w:r>
          </w:p>
          <w:p w14:paraId="4D3D24D7" w14:textId="77777777" w:rsidR="00FE6031" w:rsidRDefault="00FE6031" w:rsidP="00FE6031">
            <w:pPr>
              <w:rPr>
                <w:sz w:val="18"/>
                <w:szCs w:val="18"/>
              </w:rPr>
            </w:pPr>
          </w:p>
          <w:p w14:paraId="58478161" w14:textId="6AFBDF58" w:rsidR="00FE6031" w:rsidRPr="00FE6031" w:rsidRDefault="00FE6031" w:rsidP="00A87328">
            <w:pPr>
              <w:rPr>
                <w:sz w:val="18"/>
                <w:szCs w:val="18"/>
              </w:rPr>
            </w:pPr>
            <w:r>
              <w:rPr>
                <w:sz w:val="18"/>
                <w:szCs w:val="18"/>
              </w:rPr>
              <w:t xml:space="preserve">The </w:t>
            </w:r>
            <w:r w:rsidR="00A87328">
              <w:rPr>
                <w:sz w:val="18"/>
                <w:szCs w:val="18"/>
              </w:rPr>
              <w:t xml:space="preserve">new </w:t>
            </w:r>
            <w:r>
              <w:rPr>
                <w:sz w:val="18"/>
                <w:szCs w:val="18"/>
              </w:rPr>
              <w:t>Staff Development Policy</w:t>
            </w:r>
            <w:r w:rsidR="00A87328">
              <w:rPr>
                <w:sz w:val="18"/>
                <w:szCs w:val="18"/>
              </w:rPr>
              <w:t xml:space="preserve"> outlined above also supports the formal staff appraisal process. </w:t>
            </w:r>
          </w:p>
        </w:tc>
        <w:tc>
          <w:tcPr>
            <w:tcW w:w="1545" w:type="dxa"/>
          </w:tcPr>
          <w:p w14:paraId="4A3B53DC" w14:textId="118C3EF2" w:rsidR="002E70E0" w:rsidRPr="004734F4" w:rsidRDefault="0041157E" w:rsidP="002A7F05">
            <w:pPr>
              <w:rPr>
                <w:sz w:val="18"/>
                <w:szCs w:val="18"/>
              </w:rPr>
            </w:pPr>
            <w:r>
              <w:rPr>
                <w:sz w:val="18"/>
                <w:szCs w:val="18"/>
              </w:rPr>
              <w:lastRenderedPageBreak/>
              <w:t>January 2020</w:t>
            </w:r>
          </w:p>
        </w:tc>
        <w:tc>
          <w:tcPr>
            <w:tcW w:w="1573" w:type="dxa"/>
          </w:tcPr>
          <w:p w14:paraId="610CEECB" w14:textId="291BF377" w:rsidR="002E70E0" w:rsidRPr="004734F4" w:rsidRDefault="005D6932" w:rsidP="005D6932">
            <w:pPr>
              <w:rPr>
                <w:sz w:val="18"/>
                <w:szCs w:val="18"/>
              </w:rPr>
            </w:pPr>
            <w:r>
              <w:rPr>
                <w:sz w:val="18"/>
                <w:szCs w:val="18"/>
              </w:rPr>
              <w:t>Dean and all Line Mangers</w:t>
            </w:r>
            <w:r w:rsidR="00B23AD5">
              <w:rPr>
                <w:sz w:val="18"/>
                <w:szCs w:val="18"/>
              </w:rPr>
              <w:t xml:space="preserve"> at the C</w:t>
            </w:r>
            <w:r>
              <w:rPr>
                <w:sz w:val="18"/>
                <w:szCs w:val="18"/>
              </w:rPr>
              <w:t>ollege, with support from the Condé Nast International People Team</w:t>
            </w:r>
          </w:p>
        </w:tc>
        <w:tc>
          <w:tcPr>
            <w:tcW w:w="3153" w:type="dxa"/>
          </w:tcPr>
          <w:p w14:paraId="220770E5" w14:textId="77777777" w:rsidR="002E70E0" w:rsidRDefault="00B261C7" w:rsidP="00B261C7">
            <w:pPr>
              <w:rPr>
                <w:sz w:val="18"/>
                <w:szCs w:val="18"/>
              </w:rPr>
            </w:pPr>
            <w:r>
              <w:rPr>
                <w:sz w:val="18"/>
                <w:szCs w:val="18"/>
              </w:rPr>
              <w:t xml:space="preserve">Indicators of success will be based on staff engagement with the process. By the deadline set, all staff should have participated in two reviews and be aware of the requirements to book a review each quarter during 2020. </w:t>
            </w:r>
          </w:p>
          <w:p w14:paraId="0655B303" w14:textId="77777777" w:rsidR="00725E24" w:rsidRDefault="00725E24" w:rsidP="00B261C7">
            <w:pPr>
              <w:rPr>
                <w:sz w:val="18"/>
                <w:szCs w:val="18"/>
              </w:rPr>
            </w:pPr>
          </w:p>
          <w:p w14:paraId="20C136DC" w14:textId="62968D82" w:rsidR="00725E24" w:rsidRDefault="00725E24" w:rsidP="00B261C7">
            <w:pPr>
              <w:rPr>
                <w:sz w:val="18"/>
                <w:szCs w:val="18"/>
              </w:rPr>
            </w:pPr>
            <w:r>
              <w:rPr>
                <w:sz w:val="18"/>
                <w:szCs w:val="18"/>
              </w:rPr>
              <w:t xml:space="preserve">Members of staff at the College are also encouraged to use the ‘Office Vibe’ tool as a method of giving feedback on their working environment. This provides an additional channel for engaging with Managers and assists with the evaluation of the Milestone review process. </w:t>
            </w:r>
          </w:p>
          <w:p w14:paraId="1282D4BD" w14:textId="77777777" w:rsidR="0099784B" w:rsidRDefault="0099784B" w:rsidP="00B261C7">
            <w:pPr>
              <w:rPr>
                <w:sz w:val="18"/>
                <w:szCs w:val="18"/>
              </w:rPr>
            </w:pPr>
          </w:p>
          <w:p w14:paraId="4831D3B6" w14:textId="450C72F0" w:rsidR="0099784B" w:rsidRPr="004734F4" w:rsidRDefault="002D6D18" w:rsidP="00B261C7">
            <w:pPr>
              <w:rPr>
                <w:sz w:val="18"/>
                <w:szCs w:val="18"/>
              </w:rPr>
            </w:pPr>
            <w:r>
              <w:rPr>
                <w:sz w:val="18"/>
                <w:szCs w:val="18"/>
              </w:rPr>
              <w:t xml:space="preserve">The general, on </w:t>
            </w:r>
            <w:r w:rsidR="0099784B">
              <w:rPr>
                <w:sz w:val="18"/>
                <w:szCs w:val="18"/>
              </w:rPr>
              <w:t xml:space="preserve">going and company </w:t>
            </w:r>
            <w:r w:rsidR="0099784B">
              <w:rPr>
                <w:sz w:val="18"/>
                <w:szCs w:val="18"/>
              </w:rPr>
              <w:lastRenderedPageBreak/>
              <w:t xml:space="preserve">wide evaluation of the success of the Milestone review process the responsibility of the Condé Nast International People Team. </w:t>
            </w:r>
          </w:p>
        </w:tc>
      </w:tr>
      <w:tr w:rsidR="002E70E0" w:rsidRPr="002119FA" w14:paraId="599F5BF3" w14:textId="77777777" w:rsidTr="00917F40">
        <w:tc>
          <w:tcPr>
            <w:tcW w:w="3952" w:type="dxa"/>
          </w:tcPr>
          <w:p w14:paraId="53D9C471" w14:textId="2F0CFEED" w:rsidR="002E70E0" w:rsidRPr="004734F4" w:rsidRDefault="002E70E0" w:rsidP="002A7F05">
            <w:pPr>
              <w:rPr>
                <w:sz w:val="18"/>
                <w:szCs w:val="18"/>
              </w:rPr>
            </w:pPr>
            <w:r w:rsidRPr="004734F4">
              <w:rPr>
                <w:sz w:val="18"/>
                <w:szCs w:val="18"/>
              </w:rPr>
              <w:lastRenderedPageBreak/>
              <w:t>The steps the College is taking to widen the choice of academic resources available to students (Expectation B4)</w:t>
            </w:r>
          </w:p>
        </w:tc>
        <w:tc>
          <w:tcPr>
            <w:tcW w:w="3953" w:type="dxa"/>
          </w:tcPr>
          <w:p w14:paraId="0B6C0FBF" w14:textId="2B6C0095" w:rsidR="00A60F25" w:rsidRDefault="00A60F25" w:rsidP="00767D55">
            <w:pPr>
              <w:rPr>
                <w:sz w:val="18"/>
                <w:szCs w:val="18"/>
              </w:rPr>
            </w:pPr>
            <w:r>
              <w:rPr>
                <w:sz w:val="18"/>
                <w:szCs w:val="18"/>
              </w:rPr>
              <w:t xml:space="preserve">The College has explored a range of options for extending resources in a way that is suitable for the number of students enrolled. </w:t>
            </w:r>
            <w:r w:rsidR="006B1863">
              <w:rPr>
                <w:sz w:val="18"/>
                <w:szCs w:val="18"/>
              </w:rPr>
              <w:t xml:space="preserve">This has included discussions with our degree awarding body and with various </w:t>
            </w:r>
            <w:r w:rsidR="00E96178">
              <w:rPr>
                <w:sz w:val="18"/>
                <w:szCs w:val="18"/>
              </w:rPr>
              <w:t xml:space="preserve">wider dissemination platforms. </w:t>
            </w:r>
          </w:p>
          <w:p w14:paraId="4BA4C44A" w14:textId="77777777" w:rsidR="00A60F25" w:rsidRDefault="00A60F25" w:rsidP="00767D55">
            <w:pPr>
              <w:rPr>
                <w:sz w:val="18"/>
                <w:szCs w:val="18"/>
              </w:rPr>
            </w:pPr>
          </w:p>
          <w:p w14:paraId="5A67FCB5" w14:textId="2361D251" w:rsidR="002E70E0" w:rsidRDefault="00A60F25" w:rsidP="00767D55">
            <w:pPr>
              <w:rPr>
                <w:sz w:val="18"/>
                <w:szCs w:val="18"/>
              </w:rPr>
            </w:pPr>
            <w:r>
              <w:rPr>
                <w:sz w:val="18"/>
                <w:szCs w:val="18"/>
              </w:rPr>
              <w:t>An</w:t>
            </w:r>
            <w:r w:rsidR="00767D55">
              <w:rPr>
                <w:sz w:val="18"/>
                <w:szCs w:val="18"/>
              </w:rPr>
              <w:t xml:space="preserve"> information pack</w:t>
            </w:r>
            <w:r w:rsidR="00247D3D">
              <w:rPr>
                <w:sz w:val="18"/>
                <w:szCs w:val="18"/>
              </w:rPr>
              <w:t xml:space="preserve"> on </w:t>
            </w:r>
            <w:r w:rsidR="00767D55">
              <w:rPr>
                <w:sz w:val="18"/>
                <w:szCs w:val="18"/>
              </w:rPr>
              <w:t xml:space="preserve">accessing </w:t>
            </w:r>
            <w:r w:rsidR="000E64E5">
              <w:rPr>
                <w:sz w:val="18"/>
                <w:szCs w:val="18"/>
              </w:rPr>
              <w:t xml:space="preserve">additional </w:t>
            </w:r>
            <w:r w:rsidR="00767D55">
              <w:rPr>
                <w:sz w:val="18"/>
                <w:szCs w:val="18"/>
              </w:rPr>
              <w:t>a</w:t>
            </w:r>
            <w:r w:rsidR="00247D3D">
              <w:rPr>
                <w:sz w:val="18"/>
                <w:szCs w:val="18"/>
              </w:rPr>
              <w:t xml:space="preserve">cademic resources </w:t>
            </w:r>
            <w:r w:rsidR="00767D55">
              <w:rPr>
                <w:sz w:val="18"/>
                <w:szCs w:val="18"/>
              </w:rPr>
              <w:t xml:space="preserve">was created and circulated to students during the summer term. For the new academic term, this will be supplemented with additional subscriptions to </w:t>
            </w:r>
            <w:r w:rsidR="00350E91">
              <w:rPr>
                <w:sz w:val="18"/>
                <w:szCs w:val="18"/>
              </w:rPr>
              <w:t xml:space="preserve">course </w:t>
            </w:r>
            <w:r w:rsidR="00767D55">
              <w:rPr>
                <w:sz w:val="18"/>
                <w:szCs w:val="18"/>
              </w:rPr>
              <w:t xml:space="preserve">relevant </w:t>
            </w:r>
            <w:r w:rsidR="003837D9">
              <w:rPr>
                <w:sz w:val="18"/>
                <w:szCs w:val="18"/>
              </w:rPr>
              <w:t>academic journals and</w:t>
            </w:r>
            <w:r w:rsidR="007731BA">
              <w:rPr>
                <w:sz w:val="18"/>
                <w:szCs w:val="18"/>
              </w:rPr>
              <w:t>/or</w:t>
            </w:r>
            <w:r w:rsidR="00767D55">
              <w:rPr>
                <w:sz w:val="18"/>
                <w:szCs w:val="18"/>
              </w:rPr>
              <w:t xml:space="preserve"> portals. </w:t>
            </w:r>
            <w:r w:rsidR="00E96178">
              <w:rPr>
                <w:sz w:val="18"/>
                <w:szCs w:val="18"/>
              </w:rPr>
              <w:t>In addition to this, additional sessions on accessing the academic resources available at the College will be added to relevant courses.</w:t>
            </w:r>
          </w:p>
          <w:p w14:paraId="6451F6D2" w14:textId="6A7E4FD3" w:rsidR="00F73FCA" w:rsidRPr="004734F4" w:rsidRDefault="00F73FCA" w:rsidP="00767D55">
            <w:pPr>
              <w:rPr>
                <w:sz w:val="18"/>
                <w:szCs w:val="18"/>
              </w:rPr>
            </w:pPr>
          </w:p>
        </w:tc>
        <w:tc>
          <w:tcPr>
            <w:tcW w:w="1545" w:type="dxa"/>
          </w:tcPr>
          <w:p w14:paraId="3776B2FA" w14:textId="21885EF9" w:rsidR="002E70E0" w:rsidRPr="004734F4" w:rsidRDefault="0041157E" w:rsidP="002A7F05">
            <w:pPr>
              <w:rPr>
                <w:sz w:val="18"/>
                <w:szCs w:val="18"/>
              </w:rPr>
            </w:pPr>
            <w:r>
              <w:rPr>
                <w:sz w:val="18"/>
                <w:szCs w:val="18"/>
              </w:rPr>
              <w:t xml:space="preserve">New academic year, </w:t>
            </w:r>
            <w:r w:rsidR="00247D3D">
              <w:rPr>
                <w:sz w:val="18"/>
                <w:szCs w:val="18"/>
              </w:rPr>
              <w:t>October 2019</w:t>
            </w:r>
          </w:p>
        </w:tc>
        <w:tc>
          <w:tcPr>
            <w:tcW w:w="1573" w:type="dxa"/>
          </w:tcPr>
          <w:p w14:paraId="5FBCEEBE" w14:textId="739A08F2" w:rsidR="002E70E0" w:rsidRPr="004734F4" w:rsidRDefault="00CC7F52" w:rsidP="00F73FCA">
            <w:pPr>
              <w:rPr>
                <w:sz w:val="18"/>
                <w:szCs w:val="18"/>
              </w:rPr>
            </w:pPr>
            <w:r>
              <w:rPr>
                <w:sz w:val="18"/>
                <w:szCs w:val="18"/>
              </w:rPr>
              <w:t>Dean</w:t>
            </w:r>
            <w:r w:rsidR="00A172DD">
              <w:rPr>
                <w:sz w:val="18"/>
                <w:szCs w:val="18"/>
              </w:rPr>
              <w:t xml:space="preserve">, </w:t>
            </w:r>
            <w:r w:rsidR="00F73FCA">
              <w:rPr>
                <w:sz w:val="18"/>
                <w:szCs w:val="18"/>
              </w:rPr>
              <w:t xml:space="preserve">MA Programme Directors and </w:t>
            </w:r>
            <w:r w:rsidR="00A172DD">
              <w:rPr>
                <w:sz w:val="18"/>
                <w:szCs w:val="18"/>
              </w:rPr>
              <w:t>Technology Manager</w:t>
            </w:r>
            <w:r>
              <w:rPr>
                <w:sz w:val="18"/>
                <w:szCs w:val="18"/>
              </w:rPr>
              <w:t xml:space="preserve"> </w:t>
            </w:r>
          </w:p>
        </w:tc>
        <w:tc>
          <w:tcPr>
            <w:tcW w:w="3153" w:type="dxa"/>
          </w:tcPr>
          <w:p w14:paraId="6E1FEBA0" w14:textId="58B167A1" w:rsidR="002E70E0" w:rsidRPr="004734F4" w:rsidRDefault="004A21D0" w:rsidP="004A21D0">
            <w:pPr>
              <w:rPr>
                <w:sz w:val="18"/>
                <w:szCs w:val="18"/>
              </w:rPr>
            </w:pPr>
            <w:r>
              <w:rPr>
                <w:sz w:val="18"/>
                <w:szCs w:val="18"/>
              </w:rPr>
              <w:t xml:space="preserve">Access to additional academic resources will be provided on the College </w:t>
            </w:r>
            <w:proofErr w:type="spellStart"/>
            <w:r>
              <w:rPr>
                <w:sz w:val="18"/>
                <w:szCs w:val="18"/>
              </w:rPr>
              <w:t>VLE</w:t>
            </w:r>
            <w:proofErr w:type="spellEnd"/>
            <w:r>
              <w:rPr>
                <w:sz w:val="18"/>
                <w:szCs w:val="18"/>
              </w:rPr>
              <w:t xml:space="preserve">, Canvas. </w:t>
            </w:r>
            <w:r w:rsidR="00A60F25">
              <w:rPr>
                <w:sz w:val="18"/>
                <w:szCs w:val="18"/>
              </w:rPr>
              <w:t>The suitability of resources is then evaluated within the annual monitoring process, through module and pro</w:t>
            </w:r>
            <w:r w:rsidR="001B0760">
              <w:rPr>
                <w:sz w:val="18"/>
                <w:szCs w:val="18"/>
              </w:rPr>
              <w:t xml:space="preserve">gramme level evaluative reports that take account of both staff opinion and student feedback. </w:t>
            </w:r>
            <w:r w:rsidR="00085C63">
              <w:rPr>
                <w:sz w:val="18"/>
                <w:szCs w:val="18"/>
              </w:rPr>
              <w:t>External Examiners are also invited to comment on the quality of resources available</w:t>
            </w:r>
            <w:r w:rsidR="001B4131">
              <w:rPr>
                <w:sz w:val="18"/>
                <w:szCs w:val="18"/>
              </w:rPr>
              <w:t xml:space="preserve"> i</w:t>
            </w:r>
            <w:r w:rsidR="00085C63">
              <w:rPr>
                <w:sz w:val="18"/>
                <w:szCs w:val="18"/>
              </w:rPr>
              <w:t xml:space="preserve">n their bi-annual reports. </w:t>
            </w:r>
          </w:p>
        </w:tc>
      </w:tr>
      <w:tr w:rsidR="002E70E0" w:rsidRPr="002119FA" w14:paraId="223DCCAB" w14:textId="77777777" w:rsidTr="00917F40">
        <w:tc>
          <w:tcPr>
            <w:tcW w:w="3952" w:type="dxa"/>
          </w:tcPr>
          <w:p w14:paraId="519758CF" w14:textId="77777777" w:rsidR="002E70E0" w:rsidRPr="004734F4" w:rsidRDefault="002E70E0" w:rsidP="002A7F05">
            <w:pPr>
              <w:rPr>
                <w:sz w:val="18"/>
                <w:szCs w:val="18"/>
              </w:rPr>
            </w:pPr>
            <w:r w:rsidRPr="004734F4">
              <w:rPr>
                <w:sz w:val="18"/>
                <w:szCs w:val="18"/>
              </w:rPr>
              <w:t>The steps the College is taking to embed recently introduced processes and documentation with regard to student placements (Expectation B10)</w:t>
            </w:r>
          </w:p>
        </w:tc>
        <w:tc>
          <w:tcPr>
            <w:tcW w:w="3953" w:type="dxa"/>
          </w:tcPr>
          <w:p w14:paraId="401152CB" w14:textId="77777777" w:rsidR="00A80643" w:rsidRDefault="0075008B" w:rsidP="003B0E9B">
            <w:pPr>
              <w:rPr>
                <w:sz w:val="18"/>
                <w:szCs w:val="18"/>
              </w:rPr>
            </w:pPr>
            <w:r>
              <w:rPr>
                <w:sz w:val="18"/>
                <w:szCs w:val="18"/>
              </w:rPr>
              <w:t>The College has delivered</w:t>
            </w:r>
            <w:r w:rsidR="006D70FA">
              <w:rPr>
                <w:sz w:val="18"/>
                <w:szCs w:val="18"/>
              </w:rPr>
              <w:t xml:space="preserve"> the Industry Placement module using the new processes and documentation</w:t>
            </w:r>
            <w:r>
              <w:rPr>
                <w:sz w:val="18"/>
                <w:szCs w:val="18"/>
              </w:rPr>
              <w:t xml:space="preserve">. </w:t>
            </w:r>
          </w:p>
          <w:p w14:paraId="2D678635" w14:textId="77777777" w:rsidR="00A80643" w:rsidRDefault="00A80643" w:rsidP="003B0E9B">
            <w:pPr>
              <w:rPr>
                <w:sz w:val="18"/>
                <w:szCs w:val="18"/>
              </w:rPr>
            </w:pPr>
          </w:p>
          <w:p w14:paraId="3636EDBE" w14:textId="46A2E148" w:rsidR="002E70E0" w:rsidRPr="004734F4" w:rsidRDefault="00A80643" w:rsidP="00A80643">
            <w:pPr>
              <w:rPr>
                <w:sz w:val="18"/>
                <w:szCs w:val="18"/>
              </w:rPr>
            </w:pPr>
            <w:r>
              <w:rPr>
                <w:sz w:val="18"/>
                <w:szCs w:val="18"/>
              </w:rPr>
              <w:t xml:space="preserve">The module continues to incorporate reflective writing on the placements, which allows the module leader and careers advisors to effectively support students. </w:t>
            </w:r>
          </w:p>
        </w:tc>
        <w:tc>
          <w:tcPr>
            <w:tcW w:w="1545" w:type="dxa"/>
          </w:tcPr>
          <w:p w14:paraId="744B651E" w14:textId="4F033C97" w:rsidR="002E70E0" w:rsidRPr="004734F4" w:rsidRDefault="00030F47" w:rsidP="002A7F05">
            <w:pPr>
              <w:rPr>
                <w:sz w:val="18"/>
                <w:szCs w:val="18"/>
              </w:rPr>
            </w:pPr>
            <w:r>
              <w:rPr>
                <w:sz w:val="18"/>
                <w:szCs w:val="18"/>
              </w:rPr>
              <w:t>October 2019</w:t>
            </w:r>
          </w:p>
        </w:tc>
        <w:tc>
          <w:tcPr>
            <w:tcW w:w="1573" w:type="dxa"/>
          </w:tcPr>
          <w:p w14:paraId="0B731A9A" w14:textId="162650E2" w:rsidR="002E70E0" w:rsidRPr="004734F4" w:rsidRDefault="003B0E9B" w:rsidP="002A7F05">
            <w:pPr>
              <w:rPr>
                <w:sz w:val="18"/>
                <w:szCs w:val="18"/>
              </w:rPr>
            </w:pPr>
            <w:r>
              <w:rPr>
                <w:sz w:val="18"/>
                <w:szCs w:val="18"/>
              </w:rPr>
              <w:t xml:space="preserve">Module Leader / Careers Advisor </w:t>
            </w:r>
          </w:p>
        </w:tc>
        <w:tc>
          <w:tcPr>
            <w:tcW w:w="3153" w:type="dxa"/>
          </w:tcPr>
          <w:p w14:paraId="59D02C3C" w14:textId="0BE7116F" w:rsidR="00580591" w:rsidRPr="004734F4" w:rsidRDefault="00A80643" w:rsidP="00580591">
            <w:pPr>
              <w:rPr>
                <w:sz w:val="18"/>
                <w:szCs w:val="18"/>
              </w:rPr>
            </w:pPr>
            <w:r>
              <w:rPr>
                <w:sz w:val="18"/>
                <w:szCs w:val="18"/>
              </w:rPr>
              <w:t xml:space="preserve">The placement module ends with the submission of student reports in early October. </w:t>
            </w:r>
            <w:r w:rsidR="00580591">
              <w:rPr>
                <w:sz w:val="18"/>
                <w:szCs w:val="18"/>
              </w:rPr>
              <w:t xml:space="preserve">Once the assessment process is complete, as part of our annual monitoring processes, the module leader will evaluate the module and write a report. Students also complete module evaluation surveys, which are also responded to in the module report. The success of the industry placements will also be measured through analysis of module completion and attainment statistics. </w:t>
            </w:r>
          </w:p>
        </w:tc>
      </w:tr>
      <w:tr w:rsidR="002E70E0" w:rsidRPr="002119FA" w14:paraId="60F654CC" w14:textId="77777777" w:rsidTr="00917F40">
        <w:tc>
          <w:tcPr>
            <w:tcW w:w="3952" w:type="dxa"/>
          </w:tcPr>
          <w:p w14:paraId="37E191EA" w14:textId="77777777" w:rsidR="002E70E0" w:rsidRPr="004734F4" w:rsidRDefault="002E70E0" w:rsidP="002A7F05">
            <w:pPr>
              <w:rPr>
                <w:sz w:val="18"/>
                <w:szCs w:val="18"/>
              </w:rPr>
            </w:pPr>
            <w:r w:rsidRPr="004734F4">
              <w:rPr>
                <w:sz w:val="18"/>
                <w:szCs w:val="18"/>
              </w:rPr>
              <w:lastRenderedPageBreak/>
              <w:t>The steps the College is taking to ensure that information for students is fit for purpose (Information)</w:t>
            </w:r>
          </w:p>
        </w:tc>
        <w:tc>
          <w:tcPr>
            <w:tcW w:w="3953" w:type="dxa"/>
          </w:tcPr>
          <w:p w14:paraId="34D67368" w14:textId="588046EF" w:rsidR="004918B1" w:rsidRDefault="004918B1" w:rsidP="00600F56">
            <w:pPr>
              <w:rPr>
                <w:sz w:val="18"/>
                <w:szCs w:val="18"/>
              </w:rPr>
            </w:pPr>
            <w:r>
              <w:rPr>
                <w:sz w:val="18"/>
                <w:szCs w:val="18"/>
              </w:rPr>
              <w:t xml:space="preserve">Context: </w:t>
            </w:r>
            <w:r w:rsidR="00C93D26">
              <w:rPr>
                <w:sz w:val="18"/>
                <w:szCs w:val="18"/>
              </w:rPr>
              <w:t>The HER raised points around external information for prospective students, rather than any concerns over internal information for current students</w:t>
            </w:r>
            <w:r>
              <w:rPr>
                <w:sz w:val="18"/>
                <w:szCs w:val="18"/>
              </w:rPr>
              <w:t xml:space="preserve"> on the </w:t>
            </w:r>
            <w:proofErr w:type="spellStart"/>
            <w:r>
              <w:rPr>
                <w:sz w:val="18"/>
                <w:szCs w:val="18"/>
              </w:rPr>
              <w:t>VLE</w:t>
            </w:r>
            <w:proofErr w:type="spellEnd"/>
            <w:r>
              <w:rPr>
                <w:sz w:val="18"/>
                <w:szCs w:val="18"/>
              </w:rPr>
              <w:t>, which current students praised highly</w:t>
            </w:r>
            <w:r w:rsidR="00C93D26">
              <w:rPr>
                <w:sz w:val="18"/>
                <w:szCs w:val="18"/>
              </w:rPr>
              <w:t xml:space="preserve">. </w:t>
            </w:r>
          </w:p>
          <w:p w14:paraId="4A6815DB" w14:textId="77777777" w:rsidR="004918B1" w:rsidRDefault="004918B1" w:rsidP="00600F56">
            <w:pPr>
              <w:rPr>
                <w:sz w:val="18"/>
                <w:szCs w:val="18"/>
              </w:rPr>
            </w:pPr>
          </w:p>
          <w:p w14:paraId="111ED9BD" w14:textId="054642C4" w:rsidR="00600F56" w:rsidRDefault="00C93D26" w:rsidP="00600F56">
            <w:pPr>
              <w:rPr>
                <w:sz w:val="18"/>
                <w:szCs w:val="18"/>
              </w:rPr>
            </w:pPr>
            <w:r>
              <w:rPr>
                <w:sz w:val="18"/>
                <w:szCs w:val="18"/>
              </w:rPr>
              <w:t>As noted</w:t>
            </w:r>
            <w:r w:rsidR="004918B1">
              <w:rPr>
                <w:sz w:val="18"/>
                <w:szCs w:val="18"/>
              </w:rPr>
              <w:t xml:space="preserve"> in the report</w:t>
            </w:r>
            <w:r>
              <w:rPr>
                <w:sz w:val="18"/>
                <w:szCs w:val="18"/>
              </w:rPr>
              <w:t>, t</w:t>
            </w:r>
            <w:r w:rsidR="004918B1">
              <w:rPr>
                <w:sz w:val="18"/>
                <w:szCs w:val="18"/>
              </w:rPr>
              <w:t>he</w:t>
            </w:r>
            <w:r>
              <w:rPr>
                <w:sz w:val="18"/>
                <w:szCs w:val="18"/>
              </w:rPr>
              <w:t xml:space="preserve"> issue </w:t>
            </w:r>
            <w:r w:rsidR="004918B1">
              <w:rPr>
                <w:sz w:val="18"/>
                <w:szCs w:val="18"/>
              </w:rPr>
              <w:t xml:space="preserve">with the </w:t>
            </w:r>
            <w:r w:rsidR="00653F04">
              <w:rPr>
                <w:sz w:val="18"/>
                <w:szCs w:val="18"/>
              </w:rPr>
              <w:t xml:space="preserve">previous </w:t>
            </w:r>
            <w:r w:rsidR="004918B1">
              <w:rPr>
                <w:sz w:val="18"/>
                <w:szCs w:val="18"/>
              </w:rPr>
              <w:t xml:space="preserve">website </w:t>
            </w:r>
            <w:r w:rsidR="00653F04">
              <w:rPr>
                <w:sz w:val="18"/>
                <w:szCs w:val="18"/>
              </w:rPr>
              <w:t xml:space="preserve">(live at the time of the HER) </w:t>
            </w:r>
            <w:r>
              <w:rPr>
                <w:sz w:val="18"/>
                <w:szCs w:val="18"/>
              </w:rPr>
              <w:t xml:space="preserve">had already been identified by the College and </w:t>
            </w:r>
            <w:r w:rsidR="004918B1">
              <w:rPr>
                <w:sz w:val="18"/>
                <w:szCs w:val="18"/>
              </w:rPr>
              <w:t xml:space="preserve">as a result </w:t>
            </w:r>
            <w:r>
              <w:rPr>
                <w:sz w:val="18"/>
                <w:szCs w:val="18"/>
              </w:rPr>
              <w:t>a</w:t>
            </w:r>
            <w:r w:rsidR="00CB5A32">
              <w:rPr>
                <w:sz w:val="18"/>
                <w:szCs w:val="18"/>
              </w:rPr>
              <w:t xml:space="preserve"> completely n</w:t>
            </w:r>
            <w:r w:rsidR="00600F56" w:rsidRPr="00F74346">
              <w:rPr>
                <w:sz w:val="18"/>
                <w:szCs w:val="18"/>
              </w:rPr>
              <w:t xml:space="preserve">ew website </w:t>
            </w:r>
            <w:r w:rsidR="00CB5A32">
              <w:rPr>
                <w:sz w:val="18"/>
                <w:szCs w:val="18"/>
              </w:rPr>
              <w:t xml:space="preserve">was </w:t>
            </w:r>
            <w:r w:rsidR="00600F56" w:rsidRPr="00F74346">
              <w:rPr>
                <w:sz w:val="18"/>
                <w:szCs w:val="18"/>
              </w:rPr>
              <w:t>launched on 2</w:t>
            </w:r>
            <w:r w:rsidR="00600F56" w:rsidRPr="00F74346">
              <w:rPr>
                <w:sz w:val="18"/>
                <w:szCs w:val="18"/>
                <w:vertAlign w:val="superscript"/>
              </w:rPr>
              <w:t>nd</w:t>
            </w:r>
            <w:r w:rsidR="00600F56" w:rsidRPr="00F74346">
              <w:rPr>
                <w:sz w:val="18"/>
                <w:szCs w:val="18"/>
              </w:rPr>
              <w:t xml:space="preserve"> May</w:t>
            </w:r>
            <w:r w:rsidR="00CB5A32">
              <w:rPr>
                <w:sz w:val="18"/>
                <w:szCs w:val="18"/>
              </w:rPr>
              <w:t xml:space="preserve"> 2019</w:t>
            </w:r>
            <w:r w:rsidR="004918B1">
              <w:rPr>
                <w:sz w:val="18"/>
                <w:szCs w:val="18"/>
              </w:rPr>
              <w:t>.</w:t>
            </w:r>
            <w:r w:rsidR="00600F56" w:rsidRPr="00F74346">
              <w:rPr>
                <w:sz w:val="18"/>
                <w:szCs w:val="18"/>
              </w:rPr>
              <w:t xml:space="preserve"> </w:t>
            </w:r>
            <w:r w:rsidR="004918B1">
              <w:rPr>
                <w:sz w:val="18"/>
                <w:szCs w:val="18"/>
              </w:rPr>
              <w:t>The</w:t>
            </w:r>
            <w:r w:rsidR="00CB5A32">
              <w:rPr>
                <w:sz w:val="18"/>
                <w:szCs w:val="18"/>
              </w:rPr>
              <w:t xml:space="preserve"> process </w:t>
            </w:r>
            <w:r w:rsidR="004918B1">
              <w:rPr>
                <w:sz w:val="18"/>
                <w:szCs w:val="18"/>
              </w:rPr>
              <w:t xml:space="preserve">of developing the new site </w:t>
            </w:r>
            <w:r w:rsidR="00CB5A32">
              <w:rPr>
                <w:sz w:val="18"/>
                <w:szCs w:val="18"/>
              </w:rPr>
              <w:t xml:space="preserve">involved a comprehensive review of all </w:t>
            </w:r>
            <w:r w:rsidR="00BB53B5">
              <w:rPr>
                <w:sz w:val="18"/>
                <w:szCs w:val="18"/>
              </w:rPr>
              <w:t xml:space="preserve">content to ensure it was accurate, up to date and fit for purpose. </w:t>
            </w:r>
          </w:p>
          <w:p w14:paraId="7901BE1A" w14:textId="77777777" w:rsidR="00CB5A32" w:rsidRDefault="00CB5A32" w:rsidP="00600F56">
            <w:pPr>
              <w:rPr>
                <w:sz w:val="18"/>
                <w:szCs w:val="18"/>
              </w:rPr>
            </w:pPr>
          </w:p>
          <w:p w14:paraId="6793DF41" w14:textId="76018CA2" w:rsidR="00600F56" w:rsidRDefault="00623872" w:rsidP="00600F56">
            <w:pPr>
              <w:rPr>
                <w:sz w:val="18"/>
                <w:szCs w:val="18"/>
              </w:rPr>
            </w:pPr>
            <w:r>
              <w:rPr>
                <w:sz w:val="18"/>
                <w:szCs w:val="18"/>
              </w:rPr>
              <w:t>In add</w:t>
            </w:r>
            <w:r w:rsidR="00C76E4B">
              <w:rPr>
                <w:sz w:val="18"/>
                <w:szCs w:val="18"/>
              </w:rPr>
              <w:t>itio</w:t>
            </w:r>
            <w:r>
              <w:rPr>
                <w:sz w:val="18"/>
                <w:szCs w:val="18"/>
              </w:rPr>
              <w:t xml:space="preserve">n </w:t>
            </w:r>
            <w:r w:rsidR="00C76E4B">
              <w:rPr>
                <w:sz w:val="18"/>
                <w:szCs w:val="18"/>
              </w:rPr>
              <w:t>to the new website, in order to</w:t>
            </w:r>
            <w:r>
              <w:rPr>
                <w:sz w:val="18"/>
                <w:szCs w:val="18"/>
              </w:rPr>
              <w:t xml:space="preserve"> further improve</w:t>
            </w:r>
            <w:r w:rsidR="00C76E4B">
              <w:rPr>
                <w:sz w:val="18"/>
                <w:szCs w:val="18"/>
              </w:rPr>
              <w:t xml:space="preserve"> the application process, the College is currently installing the </w:t>
            </w:r>
            <w:proofErr w:type="spellStart"/>
            <w:r w:rsidR="00C76E4B">
              <w:rPr>
                <w:sz w:val="18"/>
                <w:szCs w:val="18"/>
              </w:rPr>
              <w:t>Ellucian</w:t>
            </w:r>
            <w:proofErr w:type="spellEnd"/>
            <w:r w:rsidR="00C76E4B">
              <w:rPr>
                <w:sz w:val="18"/>
                <w:szCs w:val="18"/>
              </w:rPr>
              <w:t xml:space="preserve"> </w:t>
            </w:r>
            <w:proofErr w:type="spellStart"/>
            <w:r w:rsidR="00600F56" w:rsidRPr="00F74346">
              <w:rPr>
                <w:sz w:val="18"/>
                <w:szCs w:val="18"/>
              </w:rPr>
              <w:t>Quercus</w:t>
            </w:r>
            <w:proofErr w:type="spellEnd"/>
            <w:r w:rsidR="00600F56" w:rsidRPr="00F74346">
              <w:rPr>
                <w:sz w:val="18"/>
                <w:szCs w:val="18"/>
              </w:rPr>
              <w:t xml:space="preserve"> student information system</w:t>
            </w:r>
            <w:r w:rsidR="00C76E4B">
              <w:rPr>
                <w:sz w:val="18"/>
                <w:szCs w:val="18"/>
              </w:rPr>
              <w:t xml:space="preserve">. The implementation process for this has included a detailed </w:t>
            </w:r>
            <w:r w:rsidR="00C76E4B" w:rsidRPr="00F74346">
              <w:rPr>
                <w:sz w:val="18"/>
                <w:szCs w:val="18"/>
              </w:rPr>
              <w:t>examination</w:t>
            </w:r>
            <w:r w:rsidR="00C76E4B">
              <w:rPr>
                <w:sz w:val="18"/>
                <w:szCs w:val="18"/>
              </w:rPr>
              <w:t xml:space="preserve"> of application processes and information. The </w:t>
            </w:r>
            <w:r w:rsidR="00600F56" w:rsidRPr="00F74346">
              <w:rPr>
                <w:sz w:val="18"/>
                <w:szCs w:val="18"/>
              </w:rPr>
              <w:t xml:space="preserve">new system </w:t>
            </w:r>
            <w:r w:rsidR="00C76E4B">
              <w:rPr>
                <w:sz w:val="18"/>
                <w:szCs w:val="18"/>
              </w:rPr>
              <w:t xml:space="preserve">is </w:t>
            </w:r>
            <w:r w:rsidR="00600F56" w:rsidRPr="00F74346">
              <w:rPr>
                <w:sz w:val="18"/>
                <w:szCs w:val="18"/>
              </w:rPr>
              <w:t xml:space="preserve">planned to go live by </w:t>
            </w:r>
            <w:r w:rsidR="00C76E4B">
              <w:rPr>
                <w:sz w:val="18"/>
                <w:szCs w:val="18"/>
              </w:rPr>
              <w:t xml:space="preserve">October </w:t>
            </w:r>
            <w:r w:rsidR="00EC77DB">
              <w:rPr>
                <w:sz w:val="18"/>
                <w:szCs w:val="18"/>
              </w:rPr>
              <w:t xml:space="preserve">2019. </w:t>
            </w:r>
          </w:p>
          <w:p w14:paraId="347D07B5" w14:textId="77777777" w:rsidR="00EC77DB" w:rsidRDefault="00EC77DB" w:rsidP="00600F56">
            <w:pPr>
              <w:rPr>
                <w:sz w:val="18"/>
                <w:szCs w:val="18"/>
              </w:rPr>
            </w:pPr>
          </w:p>
          <w:p w14:paraId="63A79705" w14:textId="7D26506A" w:rsidR="002E70E0" w:rsidRPr="004734F4" w:rsidRDefault="00EC77DB" w:rsidP="00EC77DB">
            <w:pPr>
              <w:rPr>
                <w:sz w:val="18"/>
                <w:szCs w:val="18"/>
              </w:rPr>
            </w:pPr>
            <w:r>
              <w:rPr>
                <w:sz w:val="18"/>
                <w:szCs w:val="18"/>
              </w:rPr>
              <w:t xml:space="preserve">The College is also introducing </w:t>
            </w:r>
            <w:proofErr w:type="spellStart"/>
            <w:r>
              <w:rPr>
                <w:sz w:val="18"/>
                <w:szCs w:val="18"/>
              </w:rPr>
              <w:t>GSuite</w:t>
            </w:r>
            <w:proofErr w:type="spellEnd"/>
            <w:r>
              <w:rPr>
                <w:sz w:val="18"/>
                <w:szCs w:val="18"/>
              </w:rPr>
              <w:t xml:space="preserve"> within the same timescale, which will allow easier version control and sharing of policy documents. There will now be only one master version of each policy and the external website and internal </w:t>
            </w:r>
            <w:proofErr w:type="spellStart"/>
            <w:r>
              <w:rPr>
                <w:sz w:val="18"/>
                <w:szCs w:val="18"/>
              </w:rPr>
              <w:t>VLE</w:t>
            </w:r>
            <w:proofErr w:type="spellEnd"/>
            <w:r>
              <w:rPr>
                <w:sz w:val="18"/>
                <w:szCs w:val="18"/>
              </w:rPr>
              <w:t xml:space="preserve"> will link to the same document, which will be saved centrally in a </w:t>
            </w:r>
            <w:proofErr w:type="spellStart"/>
            <w:r>
              <w:rPr>
                <w:sz w:val="18"/>
                <w:szCs w:val="18"/>
              </w:rPr>
              <w:t>GSuite</w:t>
            </w:r>
            <w:proofErr w:type="spellEnd"/>
            <w:r>
              <w:rPr>
                <w:sz w:val="18"/>
                <w:szCs w:val="18"/>
              </w:rPr>
              <w:t xml:space="preserve"> folder. This will eliminate any possibility of inconsistency. </w:t>
            </w:r>
          </w:p>
        </w:tc>
        <w:tc>
          <w:tcPr>
            <w:tcW w:w="1545" w:type="dxa"/>
          </w:tcPr>
          <w:p w14:paraId="2F5992EE" w14:textId="19F42729" w:rsidR="002E70E0" w:rsidRPr="004734F4" w:rsidRDefault="00E830F1" w:rsidP="002A7F05">
            <w:pPr>
              <w:rPr>
                <w:sz w:val="18"/>
                <w:szCs w:val="18"/>
              </w:rPr>
            </w:pPr>
            <w:r>
              <w:rPr>
                <w:sz w:val="18"/>
                <w:szCs w:val="18"/>
              </w:rPr>
              <w:t xml:space="preserve">November </w:t>
            </w:r>
            <w:r w:rsidR="0041157E">
              <w:rPr>
                <w:sz w:val="18"/>
                <w:szCs w:val="18"/>
              </w:rPr>
              <w:t>2019</w:t>
            </w:r>
          </w:p>
        </w:tc>
        <w:tc>
          <w:tcPr>
            <w:tcW w:w="1573" w:type="dxa"/>
          </w:tcPr>
          <w:p w14:paraId="1A666E75" w14:textId="6CF5D037" w:rsidR="002E70E0" w:rsidRPr="004734F4" w:rsidRDefault="00667D61" w:rsidP="00653F04">
            <w:pPr>
              <w:rPr>
                <w:sz w:val="18"/>
                <w:szCs w:val="18"/>
              </w:rPr>
            </w:pPr>
            <w:r>
              <w:rPr>
                <w:sz w:val="18"/>
                <w:szCs w:val="18"/>
              </w:rPr>
              <w:t>Head of Marketing &amp; Admissions</w:t>
            </w:r>
            <w:r w:rsidR="00C76E4B">
              <w:rPr>
                <w:sz w:val="18"/>
                <w:szCs w:val="18"/>
              </w:rPr>
              <w:t xml:space="preserve">, </w:t>
            </w:r>
            <w:r w:rsidR="00653F04">
              <w:rPr>
                <w:sz w:val="18"/>
                <w:szCs w:val="18"/>
              </w:rPr>
              <w:t>Admissions Manager, Technology Manager and Registrar</w:t>
            </w:r>
          </w:p>
        </w:tc>
        <w:tc>
          <w:tcPr>
            <w:tcW w:w="3153" w:type="dxa"/>
          </w:tcPr>
          <w:p w14:paraId="7785243E" w14:textId="3CC00331" w:rsidR="002E70E0" w:rsidRDefault="00C85CFB" w:rsidP="002A7F05">
            <w:pPr>
              <w:rPr>
                <w:sz w:val="18"/>
                <w:szCs w:val="18"/>
              </w:rPr>
            </w:pPr>
            <w:r>
              <w:rPr>
                <w:sz w:val="18"/>
                <w:szCs w:val="18"/>
              </w:rPr>
              <w:t>T</w:t>
            </w:r>
            <w:r>
              <w:rPr>
                <w:sz w:val="18"/>
                <w:szCs w:val="18"/>
              </w:rPr>
              <w:t>he Registrar</w:t>
            </w:r>
            <w:r>
              <w:rPr>
                <w:sz w:val="18"/>
                <w:szCs w:val="18"/>
              </w:rPr>
              <w:t xml:space="preserve"> reviews </w:t>
            </w:r>
            <w:r w:rsidR="00CE372A">
              <w:rPr>
                <w:sz w:val="18"/>
                <w:szCs w:val="18"/>
              </w:rPr>
              <w:t xml:space="preserve">policy and regulations based </w:t>
            </w:r>
            <w:r>
              <w:rPr>
                <w:sz w:val="18"/>
                <w:szCs w:val="18"/>
              </w:rPr>
              <w:t>i</w:t>
            </w:r>
            <w:r w:rsidR="008A4F98">
              <w:rPr>
                <w:sz w:val="18"/>
                <w:szCs w:val="18"/>
              </w:rPr>
              <w:t xml:space="preserve">nternal information </w:t>
            </w:r>
            <w:r>
              <w:rPr>
                <w:sz w:val="18"/>
                <w:szCs w:val="18"/>
              </w:rPr>
              <w:t xml:space="preserve">for students </w:t>
            </w:r>
            <w:r w:rsidR="008A4F98">
              <w:rPr>
                <w:sz w:val="18"/>
                <w:szCs w:val="18"/>
              </w:rPr>
              <w:t>annually</w:t>
            </w:r>
            <w:r>
              <w:rPr>
                <w:sz w:val="18"/>
                <w:szCs w:val="18"/>
              </w:rPr>
              <w:t>,</w:t>
            </w:r>
            <w:r w:rsidR="008A4F98">
              <w:rPr>
                <w:sz w:val="18"/>
                <w:szCs w:val="18"/>
              </w:rPr>
              <w:t xml:space="preserve"> before the beginning of each academic term. </w:t>
            </w:r>
            <w:r w:rsidR="00CE372A">
              <w:rPr>
                <w:sz w:val="18"/>
                <w:szCs w:val="18"/>
              </w:rPr>
              <w:t xml:space="preserve">Module </w:t>
            </w:r>
            <w:r w:rsidR="00633C3D">
              <w:rPr>
                <w:sz w:val="18"/>
                <w:szCs w:val="18"/>
              </w:rPr>
              <w:t xml:space="preserve">and programme </w:t>
            </w:r>
            <w:r w:rsidR="00CE372A">
              <w:rPr>
                <w:sz w:val="18"/>
                <w:szCs w:val="18"/>
              </w:rPr>
              <w:t xml:space="preserve">leaders review </w:t>
            </w:r>
            <w:r w:rsidR="00633C3D">
              <w:rPr>
                <w:sz w:val="18"/>
                <w:szCs w:val="18"/>
              </w:rPr>
              <w:t xml:space="preserve">and update </w:t>
            </w:r>
            <w:r w:rsidR="00CE372A">
              <w:rPr>
                <w:sz w:val="18"/>
                <w:szCs w:val="18"/>
              </w:rPr>
              <w:t xml:space="preserve">the course level information each term. </w:t>
            </w:r>
          </w:p>
          <w:p w14:paraId="4FEF5B2C" w14:textId="77777777" w:rsidR="008A4F98" w:rsidRDefault="008A4F98" w:rsidP="008A4F98">
            <w:pPr>
              <w:rPr>
                <w:sz w:val="18"/>
                <w:szCs w:val="18"/>
              </w:rPr>
            </w:pPr>
          </w:p>
          <w:p w14:paraId="60E79D62" w14:textId="45277F76" w:rsidR="008A4F98" w:rsidRDefault="000F3FB2" w:rsidP="008A4F98">
            <w:pPr>
              <w:rPr>
                <w:sz w:val="18"/>
                <w:szCs w:val="18"/>
              </w:rPr>
            </w:pPr>
            <w:r>
              <w:rPr>
                <w:sz w:val="18"/>
                <w:szCs w:val="18"/>
              </w:rPr>
              <w:t xml:space="preserve">Condé Nast International project teams </w:t>
            </w:r>
            <w:r>
              <w:rPr>
                <w:sz w:val="18"/>
                <w:szCs w:val="18"/>
              </w:rPr>
              <w:t>will complete post-implementation reviews of the</w:t>
            </w:r>
            <w:r w:rsidR="00FC5828">
              <w:rPr>
                <w:sz w:val="18"/>
                <w:szCs w:val="18"/>
              </w:rPr>
              <w:t xml:space="preserve"> </w:t>
            </w:r>
            <w:r w:rsidR="008A4F98">
              <w:rPr>
                <w:sz w:val="18"/>
                <w:szCs w:val="18"/>
              </w:rPr>
              <w:t xml:space="preserve">new systems. The Technology Manager also monitors information systems on an on-going basis and completes an annual review of provision, again before the start of each academic year. </w:t>
            </w:r>
          </w:p>
          <w:p w14:paraId="09A228E6" w14:textId="77777777" w:rsidR="002D6D18" w:rsidRDefault="002D6D18" w:rsidP="008A4F98">
            <w:pPr>
              <w:rPr>
                <w:sz w:val="18"/>
                <w:szCs w:val="18"/>
              </w:rPr>
            </w:pPr>
          </w:p>
          <w:p w14:paraId="2D07AC83" w14:textId="57C898AB" w:rsidR="002D6D18" w:rsidRDefault="002D6D18" w:rsidP="008A4F98">
            <w:pPr>
              <w:rPr>
                <w:sz w:val="18"/>
                <w:szCs w:val="18"/>
              </w:rPr>
            </w:pPr>
            <w:r>
              <w:rPr>
                <w:sz w:val="18"/>
                <w:szCs w:val="18"/>
              </w:rPr>
              <w:t>The Marketin</w:t>
            </w:r>
            <w:bookmarkStart w:id="0" w:name="_GoBack"/>
            <w:bookmarkEnd w:id="0"/>
            <w:r>
              <w:rPr>
                <w:sz w:val="18"/>
                <w:szCs w:val="18"/>
              </w:rPr>
              <w:t xml:space="preserve">g &amp; Admissions team </w:t>
            </w:r>
            <w:r w:rsidR="000834F3">
              <w:rPr>
                <w:sz w:val="18"/>
                <w:szCs w:val="18"/>
              </w:rPr>
              <w:t>checks</w:t>
            </w:r>
            <w:r w:rsidR="009544E1">
              <w:rPr>
                <w:sz w:val="18"/>
                <w:szCs w:val="18"/>
              </w:rPr>
              <w:t xml:space="preserve"> </w:t>
            </w:r>
            <w:r w:rsidR="00532AC7">
              <w:rPr>
                <w:sz w:val="18"/>
                <w:szCs w:val="18"/>
              </w:rPr>
              <w:t xml:space="preserve">the website </w:t>
            </w:r>
            <w:r w:rsidR="000834F3">
              <w:rPr>
                <w:sz w:val="18"/>
                <w:szCs w:val="18"/>
              </w:rPr>
              <w:t>information on each course at the outset of each recruitment cycle</w:t>
            </w:r>
            <w:r w:rsidR="009544E1">
              <w:rPr>
                <w:sz w:val="18"/>
                <w:szCs w:val="18"/>
              </w:rPr>
              <w:t>, discussing any required updates with course leaders</w:t>
            </w:r>
            <w:r w:rsidR="000834F3">
              <w:rPr>
                <w:sz w:val="18"/>
                <w:szCs w:val="18"/>
              </w:rPr>
              <w:t xml:space="preserve">. The team also </w:t>
            </w:r>
            <w:r>
              <w:rPr>
                <w:sz w:val="18"/>
                <w:szCs w:val="18"/>
              </w:rPr>
              <w:t>logs any changes to the information provided on the</w:t>
            </w:r>
            <w:r w:rsidR="000834F3">
              <w:rPr>
                <w:sz w:val="18"/>
                <w:szCs w:val="18"/>
              </w:rPr>
              <w:t xml:space="preserve"> website in a shared information register. </w:t>
            </w:r>
          </w:p>
          <w:p w14:paraId="72608AD7" w14:textId="77777777" w:rsidR="008A4F98" w:rsidRDefault="008A4F98" w:rsidP="008A4F98">
            <w:pPr>
              <w:rPr>
                <w:sz w:val="18"/>
                <w:szCs w:val="18"/>
              </w:rPr>
            </w:pPr>
          </w:p>
          <w:p w14:paraId="5101D59F" w14:textId="77777777" w:rsidR="000834F3" w:rsidRDefault="000834F3" w:rsidP="008A4F98">
            <w:pPr>
              <w:rPr>
                <w:sz w:val="18"/>
                <w:szCs w:val="18"/>
              </w:rPr>
            </w:pPr>
          </w:p>
          <w:p w14:paraId="7CBB4C4B" w14:textId="77777777" w:rsidR="008A4F98" w:rsidRDefault="008A4F98" w:rsidP="008A4F98">
            <w:pPr>
              <w:rPr>
                <w:sz w:val="18"/>
                <w:szCs w:val="18"/>
              </w:rPr>
            </w:pPr>
          </w:p>
          <w:p w14:paraId="7D53E0AC" w14:textId="77777777" w:rsidR="008A4F98" w:rsidRDefault="008A4F98" w:rsidP="008A4F98">
            <w:pPr>
              <w:rPr>
                <w:sz w:val="18"/>
                <w:szCs w:val="18"/>
              </w:rPr>
            </w:pPr>
          </w:p>
          <w:p w14:paraId="66A8489B" w14:textId="5A2F5D10" w:rsidR="008A4F98" w:rsidRPr="004734F4" w:rsidRDefault="008A4F98" w:rsidP="008A4F98">
            <w:pPr>
              <w:rPr>
                <w:sz w:val="18"/>
                <w:szCs w:val="18"/>
              </w:rPr>
            </w:pPr>
          </w:p>
        </w:tc>
      </w:tr>
    </w:tbl>
    <w:p w14:paraId="652004ED" w14:textId="77777777" w:rsidR="002E70E0" w:rsidRPr="002119FA" w:rsidRDefault="002E70E0" w:rsidP="002E70E0">
      <w:pPr>
        <w:rPr>
          <w:sz w:val="18"/>
          <w:szCs w:val="18"/>
        </w:rPr>
      </w:pPr>
    </w:p>
    <w:p w14:paraId="5D3F656A" w14:textId="77777777" w:rsidR="00B24179" w:rsidRDefault="00B24179" w:rsidP="00413AEB">
      <w:pPr>
        <w:widowControl w:val="0"/>
        <w:autoSpaceDE w:val="0"/>
        <w:autoSpaceDN w:val="0"/>
        <w:adjustRightInd w:val="0"/>
        <w:spacing w:after="240"/>
        <w:rPr>
          <w:rFonts w:cs="Times"/>
          <w:szCs w:val="20"/>
          <w:lang w:val="en-US"/>
        </w:rPr>
      </w:pPr>
    </w:p>
    <w:p w14:paraId="7A11311B" w14:textId="77777777" w:rsidR="00AA1251" w:rsidRDefault="00AA1251"/>
    <w:sectPr w:rsidR="00AA1251" w:rsidSect="003D5380">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1034"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CD3E" w14:textId="77777777" w:rsidR="002D6D18" w:rsidRDefault="002D6D18" w:rsidP="006968C0">
      <w:r>
        <w:separator/>
      </w:r>
    </w:p>
    <w:p w14:paraId="38288C21" w14:textId="77777777" w:rsidR="002D6D18" w:rsidRDefault="002D6D18"/>
  </w:endnote>
  <w:endnote w:type="continuationSeparator" w:id="0">
    <w:p w14:paraId="1005A10B" w14:textId="77777777" w:rsidR="002D6D18" w:rsidRDefault="002D6D18" w:rsidP="006968C0">
      <w:r>
        <w:continuationSeparator/>
      </w:r>
    </w:p>
    <w:p w14:paraId="42FFE7C8" w14:textId="77777777" w:rsidR="002D6D18" w:rsidRDefault="002D6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kkurat-Light">
    <w:charset w:val="00"/>
    <w:family w:val="auto"/>
    <w:pitch w:val="variable"/>
    <w:sig w:usb0="00000003" w:usb1="00000000" w:usb2="00000000" w:usb3="00000000" w:csb0="00000001" w:csb1="00000000"/>
  </w:font>
  <w:font w:name="Bauer Bodoni Std 1 Roman">
    <w:altName w:val="Athelas Bold Italic"/>
    <w:panose1 w:val="00000000000000000000"/>
    <w:charset w:val="00"/>
    <w:family w:val="roman"/>
    <w:notTrueType/>
    <w:pitch w:val="variable"/>
    <w:sig w:usb0="800000AF" w:usb1="5000204A" w:usb2="00000000" w:usb3="00000000" w:csb0="00000001" w:csb1="00000000"/>
  </w:font>
  <w:font w:name="ＭＳ ゴシック">
    <w:charset w:val="4E"/>
    <w:family w:val="auto"/>
    <w:pitch w:val="variable"/>
    <w:sig w:usb0="E00002FF" w:usb1="6AC7FDFB" w:usb2="00000012" w:usb3="00000000" w:csb0="0002009F" w:csb1="00000000"/>
  </w:font>
  <w:font w:name="Akkurat-Italic">
    <w:panose1 w:val="00000000000000000000"/>
    <w:charset w:val="4D"/>
    <w:family w:val="auto"/>
    <w:notTrueType/>
    <w:pitch w:val="variable"/>
    <w:sig w:usb0="800000AF" w:usb1="4000204A"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kkurat">
    <w:charset w:val="00"/>
    <w:family w:val="auto"/>
    <w:pitch w:val="variable"/>
    <w:sig w:usb0="00000003" w:usb1="00000000" w:usb2="00000000" w:usb3="00000000" w:csb0="00000001" w:csb1="00000000"/>
  </w:font>
  <w:font w:name="Akkurat-LightItalic Light">
    <w:panose1 w:val="00000000000000000000"/>
    <w:charset w:val="4D"/>
    <w:family w:val="auto"/>
    <w:notTrueType/>
    <w:pitch w:val="variable"/>
    <w:sig w:usb0="800000AF" w:usb1="4000204A" w:usb2="00000000" w:usb3="00000000" w:csb0="00000111" w:csb1="00000000"/>
  </w:font>
  <w:font w:name="Akkurat-Bold">
    <w:panose1 w:val="00000000000000000000"/>
    <w:charset w:val="4D"/>
    <w:family w:val="auto"/>
    <w:notTrueType/>
    <w:pitch w:val="variable"/>
    <w:sig w:usb0="800000AF" w:usb1="4000204A" w:usb2="00000000" w:usb3="00000000" w:csb0="00000111" w:csb1="00000000"/>
  </w:font>
  <w:font w:name="Bauer Bodoni Std">
    <w:altName w:val="Athelas Bold Italic"/>
    <w:panose1 w:val="00000000000000000000"/>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BauerBodon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BA4D" w14:textId="77777777" w:rsidR="002D6D18" w:rsidRDefault="002D6D18" w:rsidP="00715F6B">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7EEF630" w14:textId="77777777" w:rsidR="002D6D18" w:rsidRDefault="002D6D18" w:rsidP="006968C0">
    <w:pPr>
      <w:ind w:firstLine="360"/>
    </w:pPr>
  </w:p>
  <w:p w14:paraId="65676916" w14:textId="77777777" w:rsidR="002D6D18" w:rsidRDefault="002D6D1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07D5" w14:textId="77777777" w:rsidR="002D6D18" w:rsidRDefault="002D6D18" w:rsidP="00E8022B">
    <w:r w:rsidRPr="00D06017">
      <w:rPr>
        <w:noProof/>
        <w:sz w:val="21"/>
        <w:lang w:val="en-US"/>
      </w:rPr>
      <mc:AlternateContent>
        <mc:Choice Requires="wps">
          <w:drawing>
            <wp:anchor distT="0" distB="0" distL="114300" distR="114300" simplePos="0" relativeHeight="251658240" behindDoc="0" locked="0" layoutInCell="1" allowOverlap="1" wp14:anchorId="58868C09" wp14:editId="3CB7115B">
              <wp:simplePos x="0" y="0"/>
              <wp:positionH relativeFrom="column">
                <wp:posOffset>7752715</wp:posOffset>
              </wp:positionH>
              <wp:positionV relativeFrom="paragraph">
                <wp:posOffset>-45085</wp:posOffset>
              </wp:positionV>
              <wp:extent cx="0" cy="99060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0" cy="99060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87107"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10.45pt,-3.55pt" to="610.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" strokeweight=".25pt"/>
          </w:pict>
        </mc:Fallback>
      </mc:AlternateContent>
    </w:r>
    <w:r w:rsidRPr="00D06017">
      <w:rPr>
        <w:noProof/>
        <w:sz w:val="21"/>
        <w:lang w:val="en-US"/>
      </w:rPr>
      <w:drawing>
        <wp:anchor distT="0" distB="0" distL="114300" distR="114300" simplePos="0" relativeHeight="251664384" behindDoc="0" locked="0" layoutInCell="1" allowOverlap="1" wp14:anchorId="5621B2F7" wp14:editId="65DB7E93">
          <wp:simplePos x="0" y="0"/>
          <wp:positionH relativeFrom="column">
            <wp:posOffset>7854315</wp:posOffset>
          </wp:positionH>
          <wp:positionV relativeFrom="paragraph">
            <wp:posOffset>-29845</wp:posOffset>
          </wp:positionV>
          <wp:extent cx="765810" cy="470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_Logo_Positive_CMYK.png"/>
                  <pic:cNvPicPr/>
                </pic:nvPicPr>
                <pic:blipFill>
                  <a:blip r:embed="rId1"/>
                  <a:stretch>
                    <a:fillRect/>
                  </a:stretch>
                </pic:blipFill>
                <pic:spPr>
                  <a:xfrm>
                    <a:off x="0" y="0"/>
                    <a:ext cx="765810" cy="47053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sidRPr="00715F6B">
      <w:rPr>
        <w:rStyle w:val="PageNumber"/>
        <w:rFonts w:ascii="Akkurat-Bold" w:hAnsi="Akkurat-Bold"/>
        <w:sz w:val="16"/>
        <w:szCs w:val="16"/>
      </w:rPr>
      <w:fldChar w:fldCharType="begin"/>
    </w:r>
    <w:r w:rsidRPr="00715F6B">
      <w:rPr>
        <w:rStyle w:val="PageNumber"/>
        <w:rFonts w:ascii="Akkurat-Bold" w:hAnsi="Akkurat-Bold"/>
        <w:sz w:val="16"/>
        <w:szCs w:val="16"/>
      </w:rPr>
      <w:instrText xml:space="preserve">PAGE  </w:instrText>
    </w:r>
    <w:r w:rsidRPr="00715F6B">
      <w:rPr>
        <w:rStyle w:val="PageNumber"/>
        <w:rFonts w:ascii="Akkurat-Bold" w:hAnsi="Akkurat-Bold"/>
        <w:sz w:val="16"/>
        <w:szCs w:val="16"/>
      </w:rPr>
      <w:fldChar w:fldCharType="separate"/>
    </w:r>
    <w:r w:rsidR="000F3FB2">
      <w:rPr>
        <w:rStyle w:val="PageNumber"/>
        <w:rFonts w:ascii="Akkurat-Bold" w:hAnsi="Akkurat-Bold"/>
        <w:noProof/>
        <w:sz w:val="16"/>
        <w:szCs w:val="16"/>
      </w:rPr>
      <w:t>4</w:t>
    </w:r>
    <w:r w:rsidRPr="00715F6B">
      <w:rPr>
        <w:rStyle w:val="PageNumber"/>
        <w:rFonts w:ascii="Akkurat-Bold" w:hAnsi="Akkurat-Bold"/>
        <w:sz w:val="16"/>
        <w:szCs w:val="16"/>
      </w:rPr>
      <w:fldChar w:fldCharType="end"/>
    </w:r>
  </w:p>
  <w:p w14:paraId="23DB2E6D" w14:textId="77777777" w:rsidR="002D6D18" w:rsidRDefault="002D6D18" w:rsidP="006968C0">
    <w:pPr>
      <w:rPr>
        <w:sz w:val="13"/>
        <w:szCs w:val="16"/>
      </w:rPr>
    </w:pPr>
  </w:p>
  <w:p w14:paraId="2A90E058" w14:textId="77777777" w:rsidR="002D6D18" w:rsidRPr="006968C0" w:rsidRDefault="002D6D18" w:rsidP="006968C0">
    <w:pPr>
      <w:rPr>
        <w:rStyle w:val="PageNumber"/>
        <w:sz w:val="16"/>
        <w:szCs w:val="16"/>
      </w:rPr>
    </w:pPr>
    <w:r w:rsidRPr="00D06017">
      <w:rPr>
        <w:sz w:val="13"/>
        <w:szCs w:val="16"/>
      </w:rPr>
      <w:t>Condé Nast College of Fashion &amp; Design</w:t>
    </w:r>
    <w:r w:rsidRPr="00715F6B">
      <w:rPr>
        <w:rFonts w:ascii="Akkurat-Bold" w:hAnsi="Akkurat-Bold"/>
        <w:sz w:val="16"/>
        <w:szCs w:val="16"/>
      </w:rPr>
      <w:t xml:space="preserve"> </w:t>
    </w:r>
  </w:p>
  <w:p w14:paraId="12FB5428" w14:textId="77777777" w:rsidR="002D6D18" w:rsidRDefault="002D6D18" w:rsidP="00D0601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65AE" w14:textId="19028027" w:rsidR="002D6D18" w:rsidRPr="00D06017" w:rsidRDefault="002D6D18" w:rsidP="008A4F98">
    <w:pPr>
      <w:tabs>
        <w:tab w:val="right" w:pos="9020"/>
      </w:tabs>
      <w:jc w:val="both"/>
      <w:rPr>
        <w:sz w:val="21"/>
      </w:rPr>
    </w:pPr>
    <w:r>
      <w:rPr>
        <w:sz w:val="13"/>
        <w:szCs w:val="16"/>
      </w:rPr>
      <w:tab/>
    </w:r>
    <w:r>
      <w:rPr>
        <w:sz w:val="13"/>
        <w:szCs w:val="16"/>
      </w:rPr>
      <w:tab/>
    </w:r>
    <w:r>
      <w:rPr>
        <w:sz w:val="13"/>
        <w:szCs w:val="16"/>
      </w:rPr>
      <w:tab/>
    </w:r>
    <w:r>
      <w:rPr>
        <w:sz w:val="13"/>
        <w:szCs w:val="16"/>
      </w:rPr>
      <w:tab/>
      <w:t xml:space="preserve">             </w:t>
    </w:r>
    <w:r w:rsidRPr="00D06017">
      <w:rPr>
        <w:sz w:val="13"/>
        <w:szCs w:val="16"/>
      </w:rPr>
      <w:t>Condé Nast College of Fashion &amp; Design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E47B" w14:textId="77777777" w:rsidR="002D6D18" w:rsidRDefault="002D6D18" w:rsidP="006968C0">
      <w:r>
        <w:separator/>
      </w:r>
    </w:p>
    <w:p w14:paraId="116AE5FA" w14:textId="77777777" w:rsidR="002D6D18" w:rsidRDefault="002D6D18"/>
  </w:footnote>
  <w:footnote w:type="continuationSeparator" w:id="0">
    <w:p w14:paraId="64B9CB2E" w14:textId="77777777" w:rsidR="002D6D18" w:rsidRDefault="002D6D18" w:rsidP="006968C0">
      <w:r>
        <w:continuationSeparator/>
      </w:r>
    </w:p>
    <w:p w14:paraId="46B4A2CA" w14:textId="77777777" w:rsidR="002D6D18" w:rsidRDefault="002D6D1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D39F" w14:textId="77777777" w:rsidR="002D6D18" w:rsidRDefault="002D6D18"/>
  <w:p w14:paraId="705252CD" w14:textId="77777777" w:rsidR="002D6D18" w:rsidRDefault="002D6D1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BE91" w14:textId="77777777" w:rsidR="002D6D18" w:rsidRPr="006968C0" w:rsidRDefault="002D6D18" w:rsidP="006968C0">
    <w:pPr>
      <w:rPr>
        <w:sz w:val="16"/>
        <w:szCs w:val="16"/>
      </w:rPr>
    </w:pPr>
    <w:r w:rsidRPr="006968C0">
      <w:rPr>
        <w:sz w:val="16"/>
        <w:szCs w:val="16"/>
      </w:rPr>
      <w:t xml:space="preserve"> </w:t>
    </w:r>
  </w:p>
  <w:p w14:paraId="7DAD6D7B" w14:textId="77777777" w:rsidR="002D6D18" w:rsidRDefault="002D6D1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E900" w14:textId="77777777" w:rsidR="002D6D18" w:rsidRDefault="002D6D18" w:rsidP="005B6DCB">
    <w:pPr>
      <w:rPr>
        <w:rFonts w:ascii="Bauer Bodoni Std 1 Roman" w:hAnsi="Bauer Bodoni Std 1 Roman"/>
        <w:sz w:val="48"/>
        <w:szCs w:val="48"/>
      </w:rPr>
    </w:pPr>
    <w:proofErr w:type="spellStart"/>
    <w:r w:rsidRPr="009203E9">
      <w:rPr>
        <w:rFonts w:ascii="BauerBodoni" w:hAnsi="BauerBodoni"/>
        <w:sz w:val="40"/>
        <w:szCs w:val="40"/>
      </w:rPr>
      <w:t>QAA</w:t>
    </w:r>
    <w:proofErr w:type="spellEnd"/>
    <w:r w:rsidRPr="009203E9">
      <w:rPr>
        <w:rFonts w:ascii="BauerBodoni" w:hAnsi="BauerBodoni"/>
        <w:sz w:val="40"/>
        <w:szCs w:val="40"/>
      </w:rPr>
      <w:t xml:space="preserve"> Action Plan, 2019</w:t>
    </w:r>
    <w:r w:rsidRPr="00932692">
      <w:rPr>
        <w:noProof/>
        <w:lang w:val="en-US"/>
      </w:rPr>
      <w:drawing>
        <wp:anchor distT="0" distB="0" distL="114300" distR="114300" simplePos="0" relativeHeight="251662336" behindDoc="0" locked="0" layoutInCell="1" allowOverlap="1" wp14:anchorId="3093CD3B" wp14:editId="313525A1">
          <wp:simplePos x="0" y="0"/>
          <wp:positionH relativeFrom="column">
            <wp:posOffset>7898241</wp:posOffset>
          </wp:positionH>
          <wp:positionV relativeFrom="paragraph">
            <wp:posOffset>302634</wp:posOffset>
          </wp:positionV>
          <wp:extent cx="1229960" cy="866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_Logo_BW_CMYK-01.png"/>
                  <pic:cNvPicPr/>
                </pic:nvPicPr>
                <pic:blipFill>
                  <a:blip r:embed="rId1"/>
                  <a:stretch>
                    <a:fillRect/>
                  </a:stretch>
                </pic:blipFill>
                <pic:spPr>
                  <a:xfrm>
                    <a:off x="0" y="0"/>
                    <a:ext cx="1229960" cy="866140"/>
                  </a:xfrm>
                  <a:prstGeom prst="rect">
                    <a:avLst/>
                  </a:prstGeom>
                </pic:spPr>
              </pic:pic>
            </a:graphicData>
          </a:graphic>
          <wp14:sizeRelH relativeFrom="page">
            <wp14:pctWidth>0</wp14:pctWidth>
          </wp14:sizeRelH>
          <wp14:sizeRelV relativeFrom="page">
            <wp14:pctHeight>0</wp14:pctHeight>
          </wp14:sizeRelV>
        </wp:anchor>
      </w:drawing>
    </w:r>
  </w:p>
  <w:p w14:paraId="50367A0B" w14:textId="77777777" w:rsidR="002D6D18" w:rsidRPr="009203E9" w:rsidRDefault="002D6D18" w:rsidP="00E8022B">
    <w:pPr>
      <w:pStyle w:val="CNCHeader"/>
      <w:rPr>
        <w:rFonts w:ascii="BauerBodoni" w:hAnsi="BauerBodoni"/>
      </w:rPr>
    </w:pPr>
    <w:r w:rsidRPr="009203E9">
      <w:rPr>
        <w:rFonts w:ascii="BauerBodoni" w:hAnsi="BauerBodoni"/>
        <w:noProof/>
        <w:lang w:val="en-US"/>
      </w:rPr>
      <mc:AlternateContent>
        <mc:Choice Requires="wps">
          <w:drawing>
            <wp:anchor distT="0" distB="0" distL="114300" distR="114300" simplePos="0" relativeHeight="251663360" behindDoc="0" locked="0" layoutInCell="1" allowOverlap="1" wp14:anchorId="5EF1591E" wp14:editId="6BF4C69C">
              <wp:simplePos x="0" y="0"/>
              <wp:positionH relativeFrom="column">
                <wp:posOffset>0</wp:posOffset>
              </wp:positionH>
              <wp:positionV relativeFrom="paragraph">
                <wp:posOffset>356870</wp:posOffset>
              </wp:positionV>
              <wp:extent cx="7048072" cy="0"/>
              <wp:effectExtent l="0" t="0" r="13335" b="12700"/>
              <wp:wrapNone/>
              <wp:docPr id="13" name="Straight Connector 13"/>
              <wp:cNvGraphicFramePr/>
              <a:graphic xmlns:a="http://schemas.openxmlformats.org/drawingml/2006/main">
                <a:graphicData uri="http://schemas.microsoft.com/office/word/2010/wordprocessingShape">
                  <wps:wsp>
                    <wps:cNvCnPr/>
                    <wps:spPr>
                      <a:xfrm flipV="1">
                        <a:off x="0" y="0"/>
                        <a:ext cx="7048072"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605BC"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1pt" to="554.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" strokecolor="black [3213]"/>
          </w:pict>
        </mc:Fallback>
      </mc:AlternateContent>
    </w:r>
    <w:r w:rsidRPr="009203E9">
      <w:rPr>
        <w:rFonts w:ascii="BauerBodoni" w:hAnsi="BauerBodoni"/>
        <w:noProof/>
        <w:lang w:val="en-US"/>
      </w:rPr>
      <mc:AlternateContent>
        <mc:Choice Requires="wps">
          <w:drawing>
            <wp:anchor distT="0" distB="0" distL="114300" distR="114300" simplePos="0" relativeHeight="251655167" behindDoc="1" locked="1" layoutInCell="1" allowOverlap="1" wp14:anchorId="28745266" wp14:editId="1189D31F">
              <wp:simplePos x="0" y="0"/>
              <wp:positionH relativeFrom="column">
                <wp:posOffset>7809865</wp:posOffset>
              </wp:positionH>
              <wp:positionV relativeFrom="paragraph">
                <wp:posOffset>-1017270</wp:posOffset>
              </wp:positionV>
              <wp:extent cx="1393190" cy="1854200"/>
              <wp:effectExtent l="0" t="0" r="3810" b="0"/>
              <wp:wrapNone/>
              <wp:docPr id="10" name="Rectangle 10"/>
              <wp:cNvGraphicFramePr/>
              <a:graphic xmlns:a="http://schemas.openxmlformats.org/drawingml/2006/main">
                <a:graphicData uri="http://schemas.microsoft.com/office/word/2010/wordprocessingShape">
                  <wps:wsp>
                    <wps:cNvSpPr/>
                    <wps:spPr>
                      <a:xfrm>
                        <a:off x="0" y="0"/>
                        <a:ext cx="1393190" cy="18542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750B59" w14:textId="77777777" w:rsidR="002D6D18" w:rsidRPr="007208DA" w:rsidRDefault="002D6D18" w:rsidP="005B6DCB">
                          <w:pPr>
                            <w:rPr>
                              <w:color w:val="000000" w:themeColor="text1"/>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14.95pt;margin-top:-80.05pt;width:109.7pt;height:146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" fillcolor="black [3213]" stroked="f">
              <v:textbox inset="4mm,0,0,0">
                <w:txbxContent>
                  <w:p w14:paraId="6F750B59" w14:textId="77777777" w:rsidR="002D6D18" w:rsidRPr="007208DA" w:rsidRDefault="002D6D18" w:rsidP="005B6DCB">
                    <w:pPr>
                      <w:rPr>
                        <w:color w:val="000000" w:themeColor="text1"/>
                      </w:rPr>
                    </w:pPr>
                  </w:p>
                </w:txbxContent>
              </v:textbox>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28BE00"/>
    <w:lvl w:ilvl="0">
      <w:start w:val="1"/>
      <w:numFmt w:val="decimal"/>
      <w:lvlText w:val="%1."/>
      <w:lvlJc w:val="left"/>
      <w:pPr>
        <w:tabs>
          <w:tab w:val="num" w:pos="1492"/>
        </w:tabs>
        <w:ind w:left="1492" w:hanging="360"/>
      </w:pPr>
    </w:lvl>
  </w:abstractNum>
  <w:abstractNum w:abstractNumId="1">
    <w:nsid w:val="FFFFFF7D"/>
    <w:multiLevelType w:val="singleLevel"/>
    <w:tmpl w:val="B2089240"/>
    <w:lvl w:ilvl="0">
      <w:start w:val="1"/>
      <w:numFmt w:val="decimal"/>
      <w:lvlText w:val="%1."/>
      <w:lvlJc w:val="left"/>
      <w:pPr>
        <w:tabs>
          <w:tab w:val="num" w:pos="1209"/>
        </w:tabs>
        <w:ind w:left="1209" w:hanging="360"/>
      </w:pPr>
    </w:lvl>
  </w:abstractNum>
  <w:abstractNum w:abstractNumId="2">
    <w:nsid w:val="FFFFFF7E"/>
    <w:multiLevelType w:val="singleLevel"/>
    <w:tmpl w:val="2BD4B144"/>
    <w:lvl w:ilvl="0">
      <w:start w:val="1"/>
      <w:numFmt w:val="decimal"/>
      <w:lvlText w:val="%1."/>
      <w:lvlJc w:val="left"/>
      <w:pPr>
        <w:tabs>
          <w:tab w:val="num" w:pos="926"/>
        </w:tabs>
        <w:ind w:left="926" w:hanging="360"/>
      </w:pPr>
    </w:lvl>
  </w:abstractNum>
  <w:abstractNum w:abstractNumId="3">
    <w:nsid w:val="FFFFFF7F"/>
    <w:multiLevelType w:val="singleLevel"/>
    <w:tmpl w:val="F934ED16"/>
    <w:lvl w:ilvl="0">
      <w:start w:val="1"/>
      <w:numFmt w:val="decimal"/>
      <w:lvlText w:val="%1."/>
      <w:lvlJc w:val="left"/>
      <w:pPr>
        <w:tabs>
          <w:tab w:val="num" w:pos="643"/>
        </w:tabs>
        <w:ind w:left="643" w:hanging="360"/>
      </w:pPr>
    </w:lvl>
  </w:abstractNum>
  <w:abstractNum w:abstractNumId="4">
    <w:nsid w:val="FFFFFF80"/>
    <w:multiLevelType w:val="singleLevel"/>
    <w:tmpl w:val="B2BAF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B89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5E9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EAA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0054B8"/>
    <w:lvl w:ilvl="0">
      <w:start w:val="1"/>
      <w:numFmt w:val="decimal"/>
      <w:lvlText w:val="%1."/>
      <w:lvlJc w:val="left"/>
      <w:pPr>
        <w:tabs>
          <w:tab w:val="num" w:pos="360"/>
        </w:tabs>
        <w:ind w:left="360" w:hanging="360"/>
      </w:pPr>
    </w:lvl>
  </w:abstractNum>
  <w:abstractNum w:abstractNumId="9">
    <w:nsid w:val="FFFFFF89"/>
    <w:multiLevelType w:val="singleLevel"/>
    <w:tmpl w:val="D2BAB6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10E1C76"/>
    <w:multiLevelType w:val="hybridMultilevel"/>
    <w:tmpl w:val="1DC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63"/>
    <w:rsid w:val="00003B82"/>
    <w:rsid w:val="00030F47"/>
    <w:rsid w:val="00053F5E"/>
    <w:rsid w:val="00066444"/>
    <w:rsid w:val="000834F3"/>
    <w:rsid w:val="00085C63"/>
    <w:rsid w:val="000A386D"/>
    <w:rsid w:val="000E64E5"/>
    <w:rsid w:val="000F3FB2"/>
    <w:rsid w:val="00163322"/>
    <w:rsid w:val="001A13ED"/>
    <w:rsid w:val="001A4D8F"/>
    <w:rsid w:val="001B0760"/>
    <w:rsid w:val="001B34E7"/>
    <w:rsid w:val="001B4131"/>
    <w:rsid w:val="001C000C"/>
    <w:rsid w:val="001F2FA7"/>
    <w:rsid w:val="00204E1F"/>
    <w:rsid w:val="002165F6"/>
    <w:rsid w:val="00244E2E"/>
    <w:rsid w:val="002470BE"/>
    <w:rsid w:val="00247D3D"/>
    <w:rsid w:val="00273910"/>
    <w:rsid w:val="002A7F05"/>
    <w:rsid w:val="002B2367"/>
    <w:rsid w:val="002D52E3"/>
    <w:rsid w:val="002D6D18"/>
    <w:rsid w:val="002E70E0"/>
    <w:rsid w:val="002F0448"/>
    <w:rsid w:val="002F1349"/>
    <w:rsid w:val="00307CF1"/>
    <w:rsid w:val="00324CC6"/>
    <w:rsid w:val="00350E91"/>
    <w:rsid w:val="003837D9"/>
    <w:rsid w:val="00385F1B"/>
    <w:rsid w:val="00391627"/>
    <w:rsid w:val="003B0E9B"/>
    <w:rsid w:val="003B198D"/>
    <w:rsid w:val="003B6D26"/>
    <w:rsid w:val="003D5380"/>
    <w:rsid w:val="003E21C5"/>
    <w:rsid w:val="003F726B"/>
    <w:rsid w:val="00401EF4"/>
    <w:rsid w:val="0041157E"/>
    <w:rsid w:val="00413AEB"/>
    <w:rsid w:val="00436DA5"/>
    <w:rsid w:val="0044479F"/>
    <w:rsid w:val="00457419"/>
    <w:rsid w:val="004734F4"/>
    <w:rsid w:val="004918B1"/>
    <w:rsid w:val="00493E7F"/>
    <w:rsid w:val="004A1DA3"/>
    <w:rsid w:val="004A21D0"/>
    <w:rsid w:val="004A307F"/>
    <w:rsid w:val="00532AC7"/>
    <w:rsid w:val="00547E35"/>
    <w:rsid w:val="00557BF6"/>
    <w:rsid w:val="00580591"/>
    <w:rsid w:val="005954EB"/>
    <w:rsid w:val="005B6DCB"/>
    <w:rsid w:val="005D6932"/>
    <w:rsid w:val="00600F56"/>
    <w:rsid w:val="00623872"/>
    <w:rsid w:val="00633C3D"/>
    <w:rsid w:val="00653F04"/>
    <w:rsid w:val="006635DF"/>
    <w:rsid w:val="00667D61"/>
    <w:rsid w:val="0068158C"/>
    <w:rsid w:val="006968C0"/>
    <w:rsid w:val="006B1863"/>
    <w:rsid w:val="006B437B"/>
    <w:rsid w:val="006D70FA"/>
    <w:rsid w:val="006E65A9"/>
    <w:rsid w:val="00715F6B"/>
    <w:rsid w:val="007208DA"/>
    <w:rsid w:val="007211FA"/>
    <w:rsid w:val="00725E24"/>
    <w:rsid w:val="0075008B"/>
    <w:rsid w:val="00767D55"/>
    <w:rsid w:val="007731BA"/>
    <w:rsid w:val="00807602"/>
    <w:rsid w:val="00857C18"/>
    <w:rsid w:val="00870D48"/>
    <w:rsid w:val="00886493"/>
    <w:rsid w:val="008910AB"/>
    <w:rsid w:val="008A4F98"/>
    <w:rsid w:val="008A6471"/>
    <w:rsid w:val="008B7DCC"/>
    <w:rsid w:val="00917F40"/>
    <w:rsid w:val="009203E9"/>
    <w:rsid w:val="00932692"/>
    <w:rsid w:val="009544E1"/>
    <w:rsid w:val="0095635B"/>
    <w:rsid w:val="00963B85"/>
    <w:rsid w:val="0099784B"/>
    <w:rsid w:val="009F6F51"/>
    <w:rsid w:val="00A14D19"/>
    <w:rsid w:val="00A172DD"/>
    <w:rsid w:val="00A51D62"/>
    <w:rsid w:val="00A60F25"/>
    <w:rsid w:val="00A668D3"/>
    <w:rsid w:val="00A80643"/>
    <w:rsid w:val="00A87328"/>
    <w:rsid w:val="00AA1251"/>
    <w:rsid w:val="00AA4B82"/>
    <w:rsid w:val="00AB6AE3"/>
    <w:rsid w:val="00AC6CD1"/>
    <w:rsid w:val="00AE7413"/>
    <w:rsid w:val="00B23AD5"/>
    <w:rsid w:val="00B24179"/>
    <w:rsid w:val="00B24819"/>
    <w:rsid w:val="00B261C7"/>
    <w:rsid w:val="00B937A1"/>
    <w:rsid w:val="00BB53B5"/>
    <w:rsid w:val="00BD2BD5"/>
    <w:rsid w:val="00C12541"/>
    <w:rsid w:val="00C40585"/>
    <w:rsid w:val="00C65F8F"/>
    <w:rsid w:val="00C74FF3"/>
    <w:rsid w:val="00C76E4B"/>
    <w:rsid w:val="00C85CFB"/>
    <w:rsid w:val="00C93D26"/>
    <w:rsid w:val="00CA4B66"/>
    <w:rsid w:val="00CB5A32"/>
    <w:rsid w:val="00CC1C63"/>
    <w:rsid w:val="00CC7F52"/>
    <w:rsid w:val="00CE372A"/>
    <w:rsid w:val="00D06017"/>
    <w:rsid w:val="00D27C3B"/>
    <w:rsid w:val="00D906FC"/>
    <w:rsid w:val="00D93D3D"/>
    <w:rsid w:val="00DA1726"/>
    <w:rsid w:val="00DE39E1"/>
    <w:rsid w:val="00E05C1C"/>
    <w:rsid w:val="00E20752"/>
    <w:rsid w:val="00E23F74"/>
    <w:rsid w:val="00E27C20"/>
    <w:rsid w:val="00E37C1F"/>
    <w:rsid w:val="00E500B1"/>
    <w:rsid w:val="00E50DE1"/>
    <w:rsid w:val="00E530AF"/>
    <w:rsid w:val="00E551D2"/>
    <w:rsid w:val="00E8022B"/>
    <w:rsid w:val="00E830F1"/>
    <w:rsid w:val="00E96178"/>
    <w:rsid w:val="00EC77DB"/>
    <w:rsid w:val="00EF1612"/>
    <w:rsid w:val="00F06D73"/>
    <w:rsid w:val="00F25851"/>
    <w:rsid w:val="00F31696"/>
    <w:rsid w:val="00F32CEB"/>
    <w:rsid w:val="00F67DC2"/>
    <w:rsid w:val="00F73FCA"/>
    <w:rsid w:val="00F96D15"/>
    <w:rsid w:val="00FA0E24"/>
    <w:rsid w:val="00FC5828"/>
    <w:rsid w:val="00FE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9D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B"/>
    <w:rPr>
      <w:rFonts w:ascii="Akkurat-Light" w:hAnsi="Akkurat-Light"/>
      <w:sz w:val="20"/>
    </w:rPr>
  </w:style>
  <w:style w:type="paragraph" w:styleId="Heading1">
    <w:name w:val="heading 1"/>
    <w:basedOn w:val="Normal"/>
    <w:next w:val="Normal"/>
    <w:link w:val="Heading1Char"/>
    <w:uiPriority w:val="9"/>
    <w:qFormat/>
    <w:rsid w:val="00E8022B"/>
    <w:pPr>
      <w:keepNext/>
      <w:keepLines/>
      <w:spacing w:before="240"/>
      <w:outlineLvl w:val="0"/>
    </w:pPr>
    <w:rPr>
      <w:rFonts w:ascii="Bauer Bodoni Std 1 Roman" w:eastAsiaTheme="majorEastAsia" w:hAnsi="Bauer Bodoni Std 1 Roman" w:cstheme="majorBidi"/>
      <w:color w:val="6DACC0" w:themeColor="accent1" w:themeShade="BF"/>
      <w:sz w:val="32"/>
      <w:szCs w:val="32"/>
    </w:rPr>
  </w:style>
  <w:style w:type="paragraph" w:styleId="Heading2">
    <w:name w:val="heading 2"/>
    <w:basedOn w:val="Normal"/>
    <w:next w:val="Normal"/>
    <w:link w:val="Heading2Char"/>
    <w:uiPriority w:val="9"/>
    <w:semiHidden/>
    <w:unhideWhenUsed/>
    <w:qFormat/>
    <w:rsid w:val="00E8022B"/>
    <w:pPr>
      <w:keepNext/>
      <w:keepLines/>
      <w:spacing w:before="40"/>
      <w:outlineLvl w:val="1"/>
    </w:pPr>
    <w:rPr>
      <w:rFonts w:ascii="Bauer Bodoni Std 1 Roman" w:eastAsiaTheme="majorEastAsia" w:hAnsi="Bauer Bodoni Std 1 Roman" w:cstheme="majorBidi"/>
      <w:color w:val="6DACC0" w:themeColor="accent1" w:themeShade="BF"/>
      <w:sz w:val="26"/>
      <w:szCs w:val="26"/>
    </w:rPr>
  </w:style>
  <w:style w:type="paragraph" w:styleId="Heading3">
    <w:name w:val="heading 3"/>
    <w:basedOn w:val="Normal"/>
    <w:next w:val="Normal"/>
    <w:link w:val="Heading3Char"/>
    <w:uiPriority w:val="9"/>
    <w:semiHidden/>
    <w:unhideWhenUsed/>
    <w:qFormat/>
    <w:rsid w:val="00E8022B"/>
    <w:pPr>
      <w:keepNext/>
      <w:keepLines/>
      <w:spacing w:before="40"/>
      <w:outlineLvl w:val="2"/>
    </w:pPr>
    <w:rPr>
      <w:rFonts w:ascii="Bauer Bodoni Std 1 Roman" w:eastAsiaTheme="majorEastAsia" w:hAnsi="Bauer Bodoni Std 1 Roman" w:cstheme="majorBidi"/>
      <w:color w:val="3C798C" w:themeColor="accent1" w:themeShade="7F"/>
      <w:sz w:val="24"/>
    </w:rPr>
  </w:style>
  <w:style w:type="paragraph" w:styleId="Heading4">
    <w:name w:val="heading 4"/>
    <w:basedOn w:val="Normal"/>
    <w:next w:val="Normal"/>
    <w:link w:val="Heading4Char"/>
    <w:uiPriority w:val="9"/>
    <w:semiHidden/>
    <w:unhideWhenUsed/>
    <w:qFormat/>
    <w:rsid w:val="00E8022B"/>
    <w:pPr>
      <w:keepNext/>
      <w:keepLines/>
      <w:spacing w:before="40"/>
      <w:outlineLvl w:val="3"/>
    </w:pPr>
    <w:rPr>
      <w:rFonts w:ascii="Bauer Bodoni Std 1 Roman" w:eastAsiaTheme="majorEastAsia" w:hAnsi="Bauer Bodoni Std 1 Roman" w:cstheme="majorBidi"/>
      <w:i/>
      <w:iCs/>
      <w:color w:val="6DACC0" w:themeColor="accent1" w:themeShade="BF"/>
    </w:rPr>
  </w:style>
  <w:style w:type="paragraph" w:styleId="Heading5">
    <w:name w:val="heading 5"/>
    <w:basedOn w:val="Normal"/>
    <w:next w:val="Normal"/>
    <w:link w:val="Heading5Char"/>
    <w:uiPriority w:val="9"/>
    <w:unhideWhenUsed/>
    <w:qFormat/>
    <w:rsid w:val="00E8022B"/>
    <w:pPr>
      <w:keepNext/>
      <w:keepLines/>
      <w:spacing w:before="40"/>
      <w:outlineLvl w:val="4"/>
    </w:pPr>
    <w:rPr>
      <w:rFonts w:eastAsiaTheme="majorEastAsia" w:cstheme="majorBidi"/>
      <w:color w:val="6DACC0" w:themeColor="accent1" w:themeShade="BF"/>
    </w:rPr>
  </w:style>
  <w:style w:type="paragraph" w:styleId="Heading6">
    <w:name w:val="heading 6"/>
    <w:basedOn w:val="Normal"/>
    <w:next w:val="Normal"/>
    <w:link w:val="Heading6Char"/>
    <w:uiPriority w:val="9"/>
    <w:unhideWhenUsed/>
    <w:qFormat/>
    <w:rsid w:val="00E8022B"/>
    <w:pPr>
      <w:keepNext/>
      <w:keepLines/>
      <w:spacing w:before="40"/>
      <w:outlineLvl w:val="5"/>
    </w:pPr>
    <w:rPr>
      <w:rFonts w:eastAsiaTheme="majorEastAsia" w:cstheme="majorBidi"/>
      <w:color w:val="3C798C" w:themeColor="accent1" w:themeShade="7F"/>
    </w:rPr>
  </w:style>
  <w:style w:type="paragraph" w:styleId="Heading7">
    <w:name w:val="heading 7"/>
    <w:basedOn w:val="Normal"/>
    <w:next w:val="Normal"/>
    <w:link w:val="Heading7Char"/>
    <w:uiPriority w:val="9"/>
    <w:semiHidden/>
    <w:unhideWhenUsed/>
    <w:qFormat/>
    <w:rsid w:val="00E8022B"/>
    <w:pPr>
      <w:keepNext/>
      <w:keepLines/>
      <w:spacing w:before="40"/>
      <w:outlineLvl w:val="6"/>
    </w:pPr>
    <w:rPr>
      <w:rFonts w:eastAsiaTheme="majorEastAsia" w:cstheme="majorBidi"/>
      <w:i/>
      <w:iCs/>
      <w:color w:val="3C798C" w:themeColor="accent1" w:themeShade="7F"/>
    </w:rPr>
  </w:style>
  <w:style w:type="paragraph" w:styleId="Heading8">
    <w:name w:val="heading 8"/>
    <w:basedOn w:val="Normal"/>
    <w:next w:val="Normal"/>
    <w:link w:val="Heading8Char"/>
    <w:uiPriority w:val="9"/>
    <w:semiHidden/>
    <w:unhideWhenUsed/>
    <w:qFormat/>
    <w:rsid w:val="00E8022B"/>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22B"/>
    <w:pPr>
      <w:keepNext/>
      <w:keepLines/>
      <w:spacing w:before="40"/>
      <w:outlineLvl w:val="8"/>
    </w:pPr>
    <w:rPr>
      <w:rFonts w:ascii="Akkurat-Italic" w:eastAsiaTheme="majorEastAsia" w:hAnsi="Akkurat-Ital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8C0"/>
    <w:rPr>
      <w:rFonts w:ascii="Lucida Grande" w:hAnsi="Lucida Grande" w:cs="Lucida Grande"/>
      <w:sz w:val="18"/>
      <w:szCs w:val="18"/>
      <w:lang w:val="en-GB"/>
    </w:rPr>
  </w:style>
  <w:style w:type="paragraph" w:customStyle="1" w:styleId="CNCHeader">
    <w:name w:val="CNC Header"/>
    <w:basedOn w:val="Normal"/>
    <w:qFormat/>
    <w:rsid w:val="00E8022B"/>
    <w:rPr>
      <w:rFonts w:ascii="Bauer Bodoni Std 1 Roman" w:hAnsi="Bauer Bodoni Std 1 Roman"/>
      <w:sz w:val="48"/>
    </w:rPr>
  </w:style>
  <w:style w:type="paragraph" w:styleId="NoSpacing">
    <w:name w:val="No Spacing"/>
    <w:uiPriority w:val="1"/>
    <w:qFormat/>
    <w:rsid w:val="00E8022B"/>
    <w:rPr>
      <w:rFonts w:ascii="Akkurat-Light" w:hAnsi="Akkurat-Light"/>
      <w:sz w:val="20"/>
    </w:rPr>
  </w:style>
  <w:style w:type="character" w:customStyle="1" w:styleId="Heading1Char">
    <w:name w:val="Heading 1 Char"/>
    <w:basedOn w:val="DefaultParagraphFont"/>
    <w:link w:val="Heading1"/>
    <w:uiPriority w:val="9"/>
    <w:rsid w:val="00E8022B"/>
    <w:rPr>
      <w:rFonts w:ascii="Bauer Bodoni Std 1 Roman" w:eastAsiaTheme="majorEastAsia" w:hAnsi="Bauer Bodoni Std 1 Roman" w:cstheme="majorBidi"/>
      <w:color w:val="6DACC0" w:themeColor="accent1" w:themeShade="BF"/>
      <w:sz w:val="32"/>
      <w:szCs w:val="32"/>
    </w:rPr>
  </w:style>
  <w:style w:type="character" w:customStyle="1" w:styleId="Heading2Char">
    <w:name w:val="Heading 2 Char"/>
    <w:basedOn w:val="DefaultParagraphFont"/>
    <w:link w:val="Heading2"/>
    <w:uiPriority w:val="9"/>
    <w:semiHidden/>
    <w:rsid w:val="00E8022B"/>
    <w:rPr>
      <w:rFonts w:ascii="Bauer Bodoni Std 1 Roman" w:eastAsiaTheme="majorEastAsia" w:hAnsi="Bauer Bodoni Std 1 Roman" w:cstheme="majorBidi"/>
      <w:color w:val="6DACC0" w:themeColor="accent1" w:themeShade="BF"/>
      <w:sz w:val="26"/>
      <w:szCs w:val="26"/>
    </w:rPr>
  </w:style>
  <w:style w:type="character" w:styleId="PageNumber">
    <w:name w:val="page number"/>
    <w:basedOn w:val="DefaultParagraphFont"/>
    <w:uiPriority w:val="99"/>
    <w:semiHidden/>
    <w:unhideWhenUsed/>
    <w:rsid w:val="006968C0"/>
  </w:style>
  <w:style w:type="table" w:styleId="TableGrid">
    <w:name w:val="Table Grid"/>
    <w:basedOn w:val="TableNormal"/>
    <w:uiPriority w:val="59"/>
    <w:rsid w:val="006B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8022B"/>
    <w:rPr>
      <w:rFonts w:ascii="Bauer Bodoni Std 1 Roman" w:eastAsiaTheme="majorEastAsia" w:hAnsi="Bauer Bodoni Std 1 Roman" w:cstheme="majorBidi"/>
      <w:color w:val="3C798C" w:themeColor="accent1" w:themeShade="7F"/>
    </w:rPr>
  </w:style>
  <w:style w:type="character" w:customStyle="1" w:styleId="Heading4Char">
    <w:name w:val="Heading 4 Char"/>
    <w:basedOn w:val="DefaultParagraphFont"/>
    <w:link w:val="Heading4"/>
    <w:uiPriority w:val="9"/>
    <w:semiHidden/>
    <w:rsid w:val="00E8022B"/>
    <w:rPr>
      <w:rFonts w:ascii="Bauer Bodoni Std 1 Roman" w:eastAsiaTheme="majorEastAsia" w:hAnsi="Bauer Bodoni Std 1 Roman" w:cstheme="majorBidi"/>
      <w:i/>
      <w:iCs/>
      <w:color w:val="6DACC0" w:themeColor="accent1" w:themeShade="BF"/>
      <w:sz w:val="20"/>
    </w:rPr>
  </w:style>
  <w:style w:type="character" w:customStyle="1" w:styleId="Heading5Char">
    <w:name w:val="Heading 5 Char"/>
    <w:basedOn w:val="DefaultParagraphFont"/>
    <w:link w:val="Heading5"/>
    <w:uiPriority w:val="9"/>
    <w:rsid w:val="00E8022B"/>
    <w:rPr>
      <w:rFonts w:ascii="Akkurat-Light" w:eastAsiaTheme="majorEastAsia" w:hAnsi="Akkurat-Light" w:cstheme="majorBidi"/>
      <w:color w:val="6DACC0" w:themeColor="accent1" w:themeShade="BF"/>
      <w:sz w:val="20"/>
    </w:rPr>
  </w:style>
  <w:style w:type="paragraph" w:styleId="ListBullet">
    <w:name w:val="List Bullet"/>
    <w:basedOn w:val="Normal"/>
    <w:uiPriority w:val="99"/>
    <w:semiHidden/>
    <w:unhideWhenUsed/>
    <w:rsid w:val="00E8022B"/>
    <w:pPr>
      <w:numPr>
        <w:numId w:val="1"/>
      </w:numPr>
      <w:contextualSpacing/>
    </w:pPr>
  </w:style>
  <w:style w:type="character" w:customStyle="1" w:styleId="Heading6Char">
    <w:name w:val="Heading 6 Char"/>
    <w:basedOn w:val="DefaultParagraphFont"/>
    <w:link w:val="Heading6"/>
    <w:uiPriority w:val="9"/>
    <w:rsid w:val="00E8022B"/>
    <w:rPr>
      <w:rFonts w:ascii="Akkurat-Light" w:eastAsiaTheme="majorEastAsia" w:hAnsi="Akkurat-Light" w:cstheme="majorBidi"/>
      <w:color w:val="3C798C" w:themeColor="accent1" w:themeShade="7F"/>
      <w:sz w:val="20"/>
    </w:rPr>
  </w:style>
  <w:style w:type="character" w:customStyle="1" w:styleId="Heading7Char">
    <w:name w:val="Heading 7 Char"/>
    <w:basedOn w:val="DefaultParagraphFont"/>
    <w:link w:val="Heading7"/>
    <w:uiPriority w:val="9"/>
    <w:semiHidden/>
    <w:rsid w:val="00E8022B"/>
    <w:rPr>
      <w:rFonts w:ascii="Akkurat-Light" w:eastAsiaTheme="majorEastAsia" w:hAnsi="Akkurat-Light" w:cstheme="majorBidi"/>
      <w:i/>
      <w:iCs/>
      <w:color w:val="3C798C" w:themeColor="accent1" w:themeShade="7F"/>
      <w:sz w:val="20"/>
    </w:rPr>
  </w:style>
  <w:style w:type="character" w:customStyle="1" w:styleId="Heading8Char">
    <w:name w:val="Heading 8 Char"/>
    <w:basedOn w:val="DefaultParagraphFont"/>
    <w:link w:val="Heading8"/>
    <w:uiPriority w:val="9"/>
    <w:semiHidden/>
    <w:rsid w:val="00E8022B"/>
    <w:rPr>
      <w:rFonts w:ascii="Akkurat-Light" w:eastAsiaTheme="majorEastAsia" w:hAnsi="Akkurat-Light"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22B"/>
    <w:rPr>
      <w:rFonts w:ascii="Akkurat-Italic" w:eastAsiaTheme="majorEastAsia" w:hAnsi="Akkurat-Italic" w:cstheme="majorBidi"/>
      <w:i/>
      <w:iCs/>
      <w:color w:val="272727" w:themeColor="text1" w:themeTint="D8"/>
      <w:sz w:val="21"/>
      <w:szCs w:val="21"/>
    </w:rPr>
  </w:style>
  <w:style w:type="paragraph" w:styleId="Title">
    <w:name w:val="Title"/>
    <w:basedOn w:val="Normal"/>
    <w:next w:val="Normal"/>
    <w:link w:val="TitleChar"/>
    <w:uiPriority w:val="10"/>
    <w:qFormat/>
    <w:rsid w:val="00E8022B"/>
    <w:pPr>
      <w:contextualSpacing/>
    </w:pPr>
    <w:rPr>
      <w:rFonts w:ascii="Akkurat" w:eastAsiaTheme="majorEastAsia" w:hAnsi="Akkurat" w:cstheme="majorBidi"/>
      <w:spacing w:val="-10"/>
      <w:kern w:val="28"/>
      <w:sz w:val="56"/>
      <w:szCs w:val="56"/>
    </w:rPr>
  </w:style>
  <w:style w:type="character" w:customStyle="1" w:styleId="TitleChar">
    <w:name w:val="Title Char"/>
    <w:basedOn w:val="DefaultParagraphFont"/>
    <w:link w:val="Title"/>
    <w:uiPriority w:val="10"/>
    <w:rsid w:val="00E8022B"/>
    <w:rPr>
      <w:rFonts w:ascii="Akkurat" w:eastAsiaTheme="majorEastAsia" w:hAnsi="Akkurat" w:cstheme="majorBidi"/>
      <w:spacing w:val="-10"/>
      <w:kern w:val="28"/>
      <w:sz w:val="56"/>
      <w:szCs w:val="56"/>
    </w:rPr>
  </w:style>
  <w:style w:type="paragraph" w:styleId="Subtitle">
    <w:name w:val="Subtitle"/>
    <w:basedOn w:val="Normal"/>
    <w:next w:val="Normal"/>
    <w:link w:val="SubtitleChar"/>
    <w:uiPriority w:val="11"/>
    <w:qFormat/>
    <w:rsid w:val="00E8022B"/>
    <w:pPr>
      <w:numPr>
        <w:ilvl w:val="1"/>
      </w:numPr>
      <w:spacing w:after="160"/>
    </w:pPr>
    <w:rPr>
      <w:rFonts w:ascii="Akkurat" w:hAnsi="Akkurat"/>
      <w:color w:val="5A5A5A" w:themeColor="text1" w:themeTint="A5"/>
      <w:spacing w:val="15"/>
      <w:sz w:val="22"/>
      <w:szCs w:val="22"/>
    </w:rPr>
  </w:style>
  <w:style w:type="character" w:customStyle="1" w:styleId="SubtitleChar">
    <w:name w:val="Subtitle Char"/>
    <w:basedOn w:val="DefaultParagraphFont"/>
    <w:link w:val="Subtitle"/>
    <w:uiPriority w:val="11"/>
    <w:rsid w:val="00E8022B"/>
    <w:rPr>
      <w:rFonts w:ascii="Akkurat" w:hAnsi="Akkurat"/>
      <w:color w:val="5A5A5A" w:themeColor="text1" w:themeTint="A5"/>
      <w:spacing w:val="15"/>
      <w:sz w:val="22"/>
      <w:szCs w:val="22"/>
    </w:rPr>
  </w:style>
  <w:style w:type="character" w:styleId="Emphasis">
    <w:name w:val="Emphasis"/>
    <w:basedOn w:val="DefaultParagraphFont"/>
    <w:uiPriority w:val="20"/>
    <w:qFormat/>
    <w:rsid w:val="00E8022B"/>
    <w:rPr>
      <w:rFonts w:ascii="Akkurat-LightItalic Light" w:hAnsi="Akkurat-LightItalic Light"/>
      <w:i/>
      <w:iCs/>
    </w:rPr>
  </w:style>
  <w:style w:type="character" w:styleId="IntenseEmphasis">
    <w:name w:val="Intense Emphasis"/>
    <w:basedOn w:val="DefaultParagraphFont"/>
    <w:uiPriority w:val="21"/>
    <w:qFormat/>
    <w:rsid w:val="00E8022B"/>
    <w:rPr>
      <w:rFonts w:ascii="Akkurat-LightItalic Light" w:hAnsi="Akkurat-LightItalic Light"/>
      <w:i/>
      <w:iCs/>
      <w:color w:val="B4D5DF" w:themeColor="accent1"/>
    </w:rPr>
  </w:style>
  <w:style w:type="character" w:styleId="Strong">
    <w:name w:val="Strong"/>
    <w:basedOn w:val="DefaultParagraphFont"/>
    <w:uiPriority w:val="22"/>
    <w:qFormat/>
    <w:rsid w:val="00E8022B"/>
    <w:rPr>
      <w:rFonts w:ascii="Akkurat-Bold" w:hAnsi="Akkurat-Bold"/>
      <w:b/>
      <w:bCs/>
      <w:i w:val="0"/>
    </w:rPr>
  </w:style>
  <w:style w:type="paragraph" w:styleId="Quote">
    <w:name w:val="Quote"/>
    <w:basedOn w:val="Normal"/>
    <w:next w:val="Normal"/>
    <w:link w:val="QuoteChar"/>
    <w:uiPriority w:val="29"/>
    <w:qFormat/>
    <w:rsid w:val="00E8022B"/>
    <w:pPr>
      <w:spacing w:before="200" w:after="160"/>
      <w:ind w:left="864" w:right="864"/>
      <w:jc w:val="center"/>
    </w:pPr>
    <w:rPr>
      <w:rFonts w:ascii="Bauer Bodoni Std" w:hAnsi="Bauer Bodoni Std"/>
      <w:i/>
      <w:iCs/>
      <w:color w:val="404040" w:themeColor="text1" w:themeTint="BF"/>
    </w:rPr>
  </w:style>
  <w:style w:type="character" w:customStyle="1" w:styleId="QuoteChar">
    <w:name w:val="Quote Char"/>
    <w:basedOn w:val="DefaultParagraphFont"/>
    <w:link w:val="Quote"/>
    <w:uiPriority w:val="29"/>
    <w:rsid w:val="00E8022B"/>
    <w:rPr>
      <w:rFonts w:ascii="Bauer Bodoni Std" w:hAnsi="Bauer Bodoni Std"/>
      <w:i/>
      <w:iCs/>
      <w:color w:val="404040" w:themeColor="text1" w:themeTint="BF"/>
      <w:sz w:val="20"/>
    </w:rPr>
  </w:style>
  <w:style w:type="paragraph" w:styleId="IntenseQuote">
    <w:name w:val="Intense Quote"/>
    <w:basedOn w:val="Normal"/>
    <w:next w:val="Normal"/>
    <w:link w:val="IntenseQuoteChar"/>
    <w:uiPriority w:val="30"/>
    <w:qFormat/>
    <w:rsid w:val="00E8022B"/>
    <w:pPr>
      <w:pBdr>
        <w:top w:val="single" w:sz="4" w:space="10" w:color="B4D5DF" w:themeColor="accent1"/>
        <w:bottom w:val="single" w:sz="4" w:space="10" w:color="B4D5DF" w:themeColor="accent1"/>
      </w:pBdr>
      <w:spacing w:before="360" w:after="360"/>
      <w:ind w:left="864" w:right="864"/>
      <w:jc w:val="center"/>
    </w:pPr>
    <w:rPr>
      <w:rFonts w:ascii="Bauer Bodoni Std" w:hAnsi="Bauer Bodoni Std"/>
      <w:i/>
      <w:iCs/>
      <w:color w:val="B4D5DF" w:themeColor="accent1"/>
    </w:rPr>
  </w:style>
  <w:style w:type="character" w:customStyle="1" w:styleId="IntenseQuoteChar">
    <w:name w:val="Intense Quote Char"/>
    <w:basedOn w:val="DefaultParagraphFont"/>
    <w:link w:val="IntenseQuote"/>
    <w:uiPriority w:val="30"/>
    <w:rsid w:val="00E8022B"/>
    <w:rPr>
      <w:rFonts w:ascii="Bauer Bodoni Std" w:hAnsi="Bauer Bodoni Std"/>
      <w:i/>
      <w:iCs/>
      <w:color w:val="B4D5DF" w:themeColor="accent1"/>
      <w:sz w:val="20"/>
    </w:rPr>
  </w:style>
  <w:style w:type="character" w:styleId="SubtleReference">
    <w:name w:val="Subtle Reference"/>
    <w:basedOn w:val="DefaultParagraphFont"/>
    <w:uiPriority w:val="31"/>
    <w:qFormat/>
    <w:rsid w:val="00E8022B"/>
    <w:rPr>
      <w:rFonts w:ascii="Akkurat" w:hAnsi="Akkurat"/>
      <w:b w:val="0"/>
      <w:i w:val="0"/>
      <w:smallCaps/>
      <w:color w:val="5A5A5A" w:themeColor="text1" w:themeTint="A5"/>
    </w:rPr>
  </w:style>
  <w:style w:type="character" w:styleId="BookTitle">
    <w:name w:val="Book Title"/>
    <w:basedOn w:val="DefaultParagraphFont"/>
    <w:uiPriority w:val="33"/>
    <w:qFormat/>
    <w:rsid w:val="00E8022B"/>
    <w:rPr>
      <w:rFonts w:ascii="Akkurat-Bold" w:hAnsi="Akkurat-Bold"/>
      <w:b/>
      <w:bCs/>
      <w:i/>
      <w:iCs/>
      <w:spacing w:val="5"/>
    </w:rPr>
  </w:style>
  <w:style w:type="paragraph" w:styleId="ListParagraph">
    <w:name w:val="List Paragraph"/>
    <w:basedOn w:val="Normal"/>
    <w:uiPriority w:val="34"/>
    <w:qFormat/>
    <w:rsid w:val="00E8022B"/>
    <w:pPr>
      <w:ind w:left="720"/>
      <w:contextualSpacing/>
    </w:pPr>
  </w:style>
  <w:style w:type="paragraph" w:styleId="TOCHeading">
    <w:name w:val="TOC Heading"/>
    <w:basedOn w:val="Heading1"/>
    <w:next w:val="Normal"/>
    <w:uiPriority w:val="39"/>
    <w:semiHidden/>
    <w:unhideWhenUsed/>
    <w:qFormat/>
    <w:rsid w:val="00E8022B"/>
    <w:pPr>
      <w:outlineLvl w:val="9"/>
    </w:pPr>
    <w:rPr>
      <w:rFonts w:ascii="Akkurat-Light" w:hAnsi="Akkurat-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B"/>
    <w:rPr>
      <w:rFonts w:ascii="Akkurat-Light" w:hAnsi="Akkurat-Light"/>
      <w:sz w:val="20"/>
    </w:rPr>
  </w:style>
  <w:style w:type="paragraph" w:styleId="Heading1">
    <w:name w:val="heading 1"/>
    <w:basedOn w:val="Normal"/>
    <w:next w:val="Normal"/>
    <w:link w:val="Heading1Char"/>
    <w:uiPriority w:val="9"/>
    <w:qFormat/>
    <w:rsid w:val="00E8022B"/>
    <w:pPr>
      <w:keepNext/>
      <w:keepLines/>
      <w:spacing w:before="240"/>
      <w:outlineLvl w:val="0"/>
    </w:pPr>
    <w:rPr>
      <w:rFonts w:ascii="Bauer Bodoni Std 1 Roman" w:eastAsiaTheme="majorEastAsia" w:hAnsi="Bauer Bodoni Std 1 Roman" w:cstheme="majorBidi"/>
      <w:color w:val="6DACC0" w:themeColor="accent1" w:themeShade="BF"/>
      <w:sz w:val="32"/>
      <w:szCs w:val="32"/>
    </w:rPr>
  </w:style>
  <w:style w:type="paragraph" w:styleId="Heading2">
    <w:name w:val="heading 2"/>
    <w:basedOn w:val="Normal"/>
    <w:next w:val="Normal"/>
    <w:link w:val="Heading2Char"/>
    <w:uiPriority w:val="9"/>
    <w:semiHidden/>
    <w:unhideWhenUsed/>
    <w:qFormat/>
    <w:rsid w:val="00E8022B"/>
    <w:pPr>
      <w:keepNext/>
      <w:keepLines/>
      <w:spacing w:before="40"/>
      <w:outlineLvl w:val="1"/>
    </w:pPr>
    <w:rPr>
      <w:rFonts w:ascii="Bauer Bodoni Std 1 Roman" w:eastAsiaTheme="majorEastAsia" w:hAnsi="Bauer Bodoni Std 1 Roman" w:cstheme="majorBidi"/>
      <w:color w:val="6DACC0" w:themeColor="accent1" w:themeShade="BF"/>
      <w:sz w:val="26"/>
      <w:szCs w:val="26"/>
    </w:rPr>
  </w:style>
  <w:style w:type="paragraph" w:styleId="Heading3">
    <w:name w:val="heading 3"/>
    <w:basedOn w:val="Normal"/>
    <w:next w:val="Normal"/>
    <w:link w:val="Heading3Char"/>
    <w:uiPriority w:val="9"/>
    <w:semiHidden/>
    <w:unhideWhenUsed/>
    <w:qFormat/>
    <w:rsid w:val="00E8022B"/>
    <w:pPr>
      <w:keepNext/>
      <w:keepLines/>
      <w:spacing w:before="40"/>
      <w:outlineLvl w:val="2"/>
    </w:pPr>
    <w:rPr>
      <w:rFonts w:ascii="Bauer Bodoni Std 1 Roman" w:eastAsiaTheme="majorEastAsia" w:hAnsi="Bauer Bodoni Std 1 Roman" w:cstheme="majorBidi"/>
      <w:color w:val="3C798C" w:themeColor="accent1" w:themeShade="7F"/>
      <w:sz w:val="24"/>
    </w:rPr>
  </w:style>
  <w:style w:type="paragraph" w:styleId="Heading4">
    <w:name w:val="heading 4"/>
    <w:basedOn w:val="Normal"/>
    <w:next w:val="Normal"/>
    <w:link w:val="Heading4Char"/>
    <w:uiPriority w:val="9"/>
    <w:semiHidden/>
    <w:unhideWhenUsed/>
    <w:qFormat/>
    <w:rsid w:val="00E8022B"/>
    <w:pPr>
      <w:keepNext/>
      <w:keepLines/>
      <w:spacing w:before="40"/>
      <w:outlineLvl w:val="3"/>
    </w:pPr>
    <w:rPr>
      <w:rFonts w:ascii="Bauer Bodoni Std 1 Roman" w:eastAsiaTheme="majorEastAsia" w:hAnsi="Bauer Bodoni Std 1 Roman" w:cstheme="majorBidi"/>
      <w:i/>
      <w:iCs/>
      <w:color w:val="6DACC0" w:themeColor="accent1" w:themeShade="BF"/>
    </w:rPr>
  </w:style>
  <w:style w:type="paragraph" w:styleId="Heading5">
    <w:name w:val="heading 5"/>
    <w:basedOn w:val="Normal"/>
    <w:next w:val="Normal"/>
    <w:link w:val="Heading5Char"/>
    <w:uiPriority w:val="9"/>
    <w:unhideWhenUsed/>
    <w:qFormat/>
    <w:rsid w:val="00E8022B"/>
    <w:pPr>
      <w:keepNext/>
      <w:keepLines/>
      <w:spacing w:before="40"/>
      <w:outlineLvl w:val="4"/>
    </w:pPr>
    <w:rPr>
      <w:rFonts w:eastAsiaTheme="majorEastAsia" w:cstheme="majorBidi"/>
      <w:color w:val="6DACC0" w:themeColor="accent1" w:themeShade="BF"/>
    </w:rPr>
  </w:style>
  <w:style w:type="paragraph" w:styleId="Heading6">
    <w:name w:val="heading 6"/>
    <w:basedOn w:val="Normal"/>
    <w:next w:val="Normal"/>
    <w:link w:val="Heading6Char"/>
    <w:uiPriority w:val="9"/>
    <w:unhideWhenUsed/>
    <w:qFormat/>
    <w:rsid w:val="00E8022B"/>
    <w:pPr>
      <w:keepNext/>
      <w:keepLines/>
      <w:spacing w:before="40"/>
      <w:outlineLvl w:val="5"/>
    </w:pPr>
    <w:rPr>
      <w:rFonts w:eastAsiaTheme="majorEastAsia" w:cstheme="majorBidi"/>
      <w:color w:val="3C798C" w:themeColor="accent1" w:themeShade="7F"/>
    </w:rPr>
  </w:style>
  <w:style w:type="paragraph" w:styleId="Heading7">
    <w:name w:val="heading 7"/>
    <w:basedOn w:val="Normal"/>
    <w:next w:val="Normal"/>
    <w:link w:val="Heading7Char"/>
    <w:uiPriority w:val="9"/>
    <w:semiHidden/>
    <w:unhideWhenUsed/>
    <w:qFormat/>
    <w:rsid w:val="00E8022B"/>
    <w:pPr>
      <w:keepNext/>
      <w:keepLines/>
      <w:spacing w:before="40"/>
      <w:outlineLvl w:val="6"/>
    </w:pPr>
    <w:rPr>
      <w:rFonts w:eastAsiaTheme="majorEastAsia" w:cstheme="majorBidi"/>
      <w:i/>
      <w:iCs/>
      <w:color w:val="3C798C" w:themeColor="accent1" w:themeShade="7F"/>
    </w:rPr>
  </w:style>
  <w:style w:type="paragraph" w:styleId="Heading8">
    <w:name w:val="heading 8"/>
    <w:basedOn w:val="Normal"/>
    <w:next w:val="Normal"/>
    <w:link w:val="Heading8Char"/>
    <w:uiPriority w:val="9"/>
    <w:semiHidden/>
    <w:unhideWhenUsed/>
    <w:qFormat/>
    <w:rsid w:val="00E8022B"/>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22B"/>
    <w:pPr>
      <w:keepNext/>
      <w:keepLines/>
      <w:spacing w:before="40"/>
      <w:outlineLvl w:val="8"/>
    </w:pPr>
    <w:rPr>
      <w:rFonts w:ascii="Akkurat-Italic" w:eastAsiaTheme="majorEastAsia" w:hAnsi="Akkurat-Ital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8C0"/>
    <w:rPr>
      <w:rFonts w:ascii="Lucida Grande" w:hAnsi="Lucida Grande" w:cs="Lucida Grande"/>
      <w:sz w:val="18"/>
      <w:szCs w:val="18"/>
      <w:lang w:val="en-GB"/>
    </w:rPr>
  </w:style>
  <w:style w:type="paragraph" w:customStyle="1" w:styleId="CNCHeader">
    <w:name w:val="CNC Header"/>
    <w:basedOn w:val="Normal"/>
    <w:qFormat/>
    <w:rsid w:val="00E8022B"/>
    <w:rPr>
      <w:rFonts w:ascii="Bauer Bodoni Std 1 Roman" w:hAnsi="Bauer Bodoni Std 1 Roman"/>
      <w:sz w:val="48"/>
    </w:rPr>
  </w:style>
  <w:style w:type="paragraph" w:styleId="NoSpacing">
    <w:name w:val="No Spacing"/>
    <w:uiPriority w:val="1"/>
    <w:qFormat/>
    <w:rsid w:val="00E8022B"/>
    <w:rPr>
      <w:rFonts w:ascii="Akkurat-Light" w:hAnsi="Akkurat-Light"/>
      <w:sz w:val="20"/>
    </w:rPr>
  </w:style>
  <w:style w:type="character" w:customStyle="1" w:styleId="Heading1Char">
    <w:name w:val="Heading 1 Char"/>
    <w:basedOn w:val="DefaultParagraphFont"/>
    <w:link w:val="Heading1"/>
    <w:uiPriority w:val="9"/>
    <w:rsid w:val="00E8022B"/>
    <w:rPr>
      <w:rFonts w:ascii="Bauer Bodoni Std 1 Roman" w:eastAsiaTheme="majorEastAsia" w:hAnsi="Bauer Bodoni Std 1 Roman" w:cstheme="majorBidi"/>
      <w:color w:val="6DACC0" w:themeColor="accent1" w:themeShade="BF"/>
      <w:sz w:val="32"/>
      <w:szCs w:val="32"/>
    </w:rPr>
  </w:style>
  <w:style w:type="character" w:customStyle="1" w:styleId="Heading2Char">
    <w:name w:val="Heading 2 Char"/>
    <w:basedOn w:val="DefaultParagraphFont"/>
    <w:link w:val="Heading2"/>
    <w:uiPriority w:val="9"/>
    <w:semiHidden/>
    <w:rsid w:val="00E8022B"/>
    <w:rPr>
      <w:rFonts w:ascii="Bauer Bodoni Std 1 Roman" w:eastAsiaTheme="majorEastAsia" w:hAnsi="Bauer Bodoni Std 1 Roman" w:cstheme="majorBidi"/>
      <w:color w:val="6DACC0" w:themeColor="accent1" w:themeShade="BF"/>
      <w:sz w:val="26"/>
      <w:szCs w:val="26"/>
    </w:rPr>
  </w:style>
  <w:style w:type="character" w:styleId="PageNumber">
    <w:name w:val="page number"/>
    <w:basedOn w:val="DefaultParagraphFont"/>
    <w:uiPriority w:val="99"/>
    <w:semiHidden/>
    <w:unhideWhenUsed/>
    <w:rsid w:val="006968C0"/>
  </w:style>
  <w:style w:type="table" w:styleId="TableGrid">
    <w:name w:val="Table Grid"/>
    <w:basedOn w:val="TableNormal"/>
    <w:uiPriority w:val="59"/>
    <w:rsid w:val="006B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8022B"/>
    <w:rPr>
      <w:rFonts w:ascii="Bauer Bodoni Std 1 Roman" w:eastAsiaTheme="majorEastAsia" w:hAnsi="Bauer Bodoni Std 1 Roman" w:cstheme="majorBidi"/>
      <w:color w:val="3C798C" w:themeColor="accent1" w:themeShade="7F"/>
    </w:rPr>
  </w:style>
  <w:style w:type="character" w:customStyle="1" w:styleId="Heading4Char">
    <w:name w:val="Heading 4 Char"/>
    <w:basedOn w:val="DefaultParagraphFont"/>
    <w:link w:val="Heading4"/>
    <w:uiPriority w:val="9"/>
    <w:semiHidden/>
    <w:rsid w:val="00E8022B"/>
    <w:rPr>
      <w:rFonts w:ascii="Bauer Bodoni Std 1 Roman" w:eastAsiaTheme="majorEastAsia" w:hAnsi="Bauer Bodoni Std 1 Roman" w:cstheme="majorBidi"/>
      <w:i/>
      <w:iCs/>
      <w:color w:val="6DACC0" w:themeColor="accent1" w:themeShade="BF"/>
      <w:sz w:val="20"/>
    </w:rPr>
  </w:style>
  <w:style w:type="character" w:customStyle="1" w:styleId="Heading5Char">
    <w:name w:val="Heading 5 Char"/>
    <w:basedOn w:val="DefaultParagraphFont"/>
    <w:link w:val="Heading5"/>
    <w:uiPriority w:val="9"/>
    <w:rsid w:val="00E8022B"/>
    <w:rPr>
      <w:rFonts w:ascii="Akkurat-Light" w:eastAsiaTheme="majorEastAsia" w:hAnsi="Akkurat-Light" w:cstheme="majorBidi"/>
      <w:color w:val="6DACC0" w:themeColor="accent1" w:themeShade="BF"/>
      <w:sz w:val="20"/>
    </w:rPr>
  </w:style>
  <w:style w:type="paragraph" w:styleId="ListBullet">
    <w:name w:val="List Bullet"/>
    <w:basedOn w:val="Normal"/>
    <w:uiPriority w:val="99"/>
    <w:semiHidden/>
    <w:unhideWhenUsed/>
    <w:rsid w:val="00E8022B"/>
    <w:pPr>
      <w:numPr>
        <w:numId w:val="1"/>
      </w:numPr>
      <w:contextualSpacing/>
    </w:pPr>
  </w:style>
  <w:style w:type="character" w:customStyle="1" w:styleId="Heading6Char">
    <w:name w:val="Heading 6 Char"/>
    <w:basedOn w:val="DefaultParagraphFont"/>
    <w:link w:val="Heading6"/>
    <w:uiPriority w:val="9"/>
    <w:rsid w:val="00E8022B"/>
    <w:rPr>
      <w:rFonts w:ascii="Akkurat-Light" w:eastAsiaTheme="majorEastAsia" w:hAnsi="Akkurat-Light" w:cstheme="majorBidi"/>
      <w:color w:val="3C798C" w:themeColor="accent1" w:themeShade="7F"/>
      <w:sz w:val="20"/>
    </w:rPr>
  </w:style>
  <w:style w:type="character" w:customStyle="1" w:styleId="Heading7Char">
    <w:name w:val="Heading 7 Char"/>
    <w:basedOn w:val="DefaultParagraphFont"/>
    <w:link w:val="Heading7"/>
    <w:uiPriority w:val="9"/>
    <w:semiHidden/>
    <w:rsid w:val="00E8022B"/>
    <w:rPr>
      <w:rFonts w:ascii="Akkurat-Light" w:eastAsiaTheme="majorEastAsia" w:hAnsi="Akkurat-Light" w:cstheme="majorBidi"/>
      <w:i/>
      <w:iCs/>
      <w:color w:val="3C798C" w:themeColor="accent1" w:themeShade="7F"/>
      <w:sz w:val="20"/>
    </w:rPr>
  </w:style>
  <w:style w:type="character" w:customStyle="1" w:styleId="Heading8Char">
    <w:name w:val="Heading 8 Char"/>
    <w:basedOn w:val="DefaultParagraphFont"/>
    <w:link w:val="Heading8"/>
    <w:uiPriority w:val="9"/>
    <w:semiHidden/>
    <w:rsid w:val="00E8022B"/>
    <w:rPr>
      <w:rFonts w:ascii="Akkurat-Light" w:eastAsiaTheme="majorEastAsia" w:hAnsi="Akkurat-Light"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22B"/>
    <w:rPr>
      <w:rFonts w:ascii="Akkurat-Italic" w:eastAsiaTheme="majorEastAsia" w:hAnsi="Akkurat-Italic" w:cstheme="majorBidi"/>
      <w:i/>
      <w:iCs/>
      <w:color w:val="272727" w:themeColor="text1" w:themeTint="D8"/>
      <w:sz w:val="21"/>
      <w:szCs w:val="21"/>
    </w:rPr>
  </w:style>
  <w:style w:type="paragraph" w:styleId="Title">
    <w:name w:val="Title"/>
    <w:basedOn w:val="Normal"/>
    <w:next w:val="Normal"/>
    <w:link w:val="TitleChar"/>
    <w:uiPriority w:val="10"/>
    <w:qFormat/>
    <w:rsid w:val="00E8022B"/>
    <w:pPr>
      <w:contextualSpacing/>
    </w:pPr>
    <w:rPr>
      <w:rFonts w:ascii="Akkurat" w:eastAsiaTheme="majorEastAsia" w:hAnsi="Akkurat" w:cstheme="majorBidi"/>
      <w:spacing w:val="-10"/>
      <w:kern w:val="28"/>
      <w:sz w:val="56"/>
      <w:szCs w:val="56"/>
    </w:rPr>
  </w:style>
  <w:style w:type="character" w:customStyle="1" w:styleId="TitleChar">
    <w:name w:val="Title Char"/>
    <w:basedOn w:val="DefaultParagraphFont"/>
    <w:link w:val="Title"/>
    <w:uiPriority w:val="10"/>
    <w:rsid w:val="00E8022B"/>
    <w:rPr>
      <w:rFonts w:ascii="Akkurat" w:eastAsiaTheme="majorEastAsia" w:hAnsi="Akkurat" w:cstheme="majorBidi"/>
      <w:spacing w:val="-10"/>
      <w:kern w:val="28"/>
      <w:sz w:val="56"/>
      <w:szCs w:val="56"/>
    </w:rPr>
  </w:style>
  <w:style w:type="paragraph" w:styleId="Subtitle">
    <w:name w:val="Subtitle"/>
    <w:basedOn w:val="Normal"/>
    <w:next w:val="Normal"/>
    <w:link w:val="SubtitleChar"/>
    <w:uiPriority w:val="11"/>
    <w:qFormat/>
    <w:rsid w:val="00E8022B"/>
    <w:pPr>
      <w:numPr>
        <w:ilvl w:val="1"/>
      </w:numPr>
      <w:spacing w:after="160"/>
    </w:pPr>
    <w:rPr>
      <w:rFonts w:ascii="Akkurat" w:hAnsi="Akkurat"/>
      <w:color w:val="5A5A5A" w:themeColor="text1" w:themeTint="A5"/>
      <w:spacing w:val="15"/>
      <w:sz w:val="22"/>
      <w:szCs w:val="22"/>
    </w:rPr>
  </w:style>
  <w:style w:type="character" w:customStyle="1" w:styleId="SubtitleChar">
    <w:name w:val="Subtitle Char"/>
    <w:basedOn w:val="DefaultParagraphFont"/>
    <w:link w:val="Subtitle"/>
    <w:uiPriority w:val="11"/>
    <w:rsid w:val="00E8022B"/>
    <w:rPr>
      <w:rFonts w:ascii="Akkurat" w:hAnsi="Akkurat"/>
      <w:color w:val="5A5A5A" w:themeColor="text1" w:themeTint="A5"/>
      <w:spacing w:val="15"/>
      <w:sz w:val="22"/>
      <w:szCs w:val="22"/>
    </w:rPr>
  </w:style>
  <w:style w:type="character" w:styleId="Emphasis">
    <w:name w:val="Emphasis"/>
    <w:basedOn w:val="DefaultParagraphFont"/>
    <w:uiPriority w:val="20"/>
    <w:qFormat/>
    <w:rsid w:val="00E8022B"/>
    <w:rPr>
      <w:rFonts w:ascii="Akkurat-LightItalic Light" w:hAnsi="Akkurat-LightItalic Light"/>
      <w:i/>
      <w:iCs/>
    </w:rPr>
  </w:style>
  <w:style w:type="character" w:styleId="IntenseEmphasis">
    <w:name w:val="Intense Emphasis"/>
    <w:basedOn w:val="DefaultParagraphFont"/>
    <w:uiPriority w:val="21"/>
    <w:qFormat/>
    <w:rsid w:val="00E8022B"/>
    <w:rPr>
      <w:rFonts w:ascii="Akkurat-LightItalic Light" w:hAnsi="Akkurat-LightItalic Light"/>
      <w:i/>
      <w:iCs/>
      <w:color w:val="B4D5DF" w:themeColor="accent1"/>
    </w:rPr>
  </w:style>
  <w:style w:type="character" w:styleId="Strong">
    <w:name w:val="Strong"/>
    <w:basedOn w:val="DefaultParagraphFont"/>
    <w:uiPriority w:val="22"/>
    <w:qFormat/>
    <w:rsid w:val="00E8022B"/>
    <w:rPr>
      <w:rFonts w:ascii="Akkurat-Bold" w:hAnsi="Akkurat-Bold"/>
      <w:b/>
      <w:bCs/>
      <w:i w:val="0"/>
    </w:rPr>
  </w:style>
  <w:style w:type="paragraph" w:styleId="Quote">
    <w:name w:val="Quote"/>
    <w:basedOn w:val="Normal"/>
    <w:next w:val="Normal"/>
    <w:link w:val="QuoteChar"/>
    <w:uiPriority w:val="29"/>
    <w:qFormat/>
    <w:rsid w:val="00E8022B"/>
    <w:pPr>
      <w:spacing w:before="200" w:after="160"/>
      <w:ind w:left="864" w:right="864"/>
      <w:jc w:val="center"/>
    </w:pPr>
    <w:rPr>
      <w:rFonts w:ascii="Bauer Bodoni Std" w:hAnsi="Bauer Bodoni Std"/>
      <w:i/>
      <w:iCs/>
      <w:color w:val="404040" w:themeColor="text1" w:themeTint="BF"/>
    </w:rPr>
  </w:style>
  <w:style w:type="character" w:customStyle="1" w:styleId="QuoteChar">
    <w:name w:val="Quote Char"/>
    <w:basedOn w:val="DefaultParagraphFont"/>
    <w:link w:val="Quote"/>
    <w:uiPriority w:val="29"/>
    <w:rsid w:val="00E8022B"/>
    <w:rPr>
      <w:rFonts w:ascii="Bauer Bodoni Std" w:hAnsi="Bauer Bodoni Std"/>
      <w:i/>
      <w:iCs/>
      <w:color w:val="404040" w:themeColor="text1" w:themeTint="BF"/>
      <w:sz w:val="20"/>
    </w:rPr>
  </w:style>
  <w:style w:type="paragraph" w:styleId="IntenseQuote">
    <w:name w:val="Intense Quote"/>
    <w:basedOn w:val="Normal"/>
    <w:next w:val="Normal"/>
    <w:link w:val="IntenseQuoteChar"/>
    <w:uiPriority w:val="30"/>
    <w:qFormat/>
    <w:rsid w:val="00E8022B"/>
    <w:pPr>
      <w:pBdr>
        <w:top w:val="single" w:sz="4" w:space="10" w:color="B4D5DF" w:themeColor="accent1"/>
        <w:bottom w:val="single" w:sz="4" w:space="10" w:color="B4D5DF" w:themeColor="accent1"/>
      </w:pBdr>
      <w:spacing w:before="360" w:after="360"/>
      <w:ind w:left="864" w:right="864"/>
      <w:jc w:val="center"/>
    </w:pPr>
    <w:rPr>
      <w:rFonts w:ascii="Bauer Bodoni Std" w:hAnsi="Bauer Bodoni Std"/>
      <w:i/>
      <w:iCs/>
      <w:color w:val="B4D5DF" w:themeColor="accent1"/>
    </w:rPr>
  </w:style>
  <w:style w:type="character" w:customStyle="1" w:styleId="IntenseQuoteChar">
    <w:name w:val="Intense Quote Char"/>
    <w:basedOn w:val="DefaultParagraphFont"/>
    <w:link w:val="IntenseQuote"/>
    <w:uiPriority w:val="30"/>
    <w:rsid w:val="00E8022B"/>
    <w:rPr>
      <w:rFonts w:ascii="Bauer Bodoni Std" w:hAnsi="Bauer Bodoni Std"/>
      <w:i/>
      <w:iCs/>
      <w:color w:val="B4D5DF" w:themeColor="accent1"/>
      <w:sz w:val="20"/>
    </w:rPr>
  </w:style>
  <w:style w:type="character" w:styleId="SubtleReference">
    <w:name w:val="Subtle Reference"/>
    <w:basedOn w:val="DefaultParagraphFont"/>
    <w:uiPriority w:val="31"/>
    <w:qFormat/>
    <w:rsid w:val="00E8022B"/>
    <w:rPr>
      <w:rFonts w:ascii="Akkurat" w:hAnsi="Akkurat"/>
      <w:b w:val="0"/>
      <w:i w:val="0"/>
      <w:smallCaps/>
      <w:color w:val="5A5A5A" w:themeColor="text1" w:themeTint="A5"/>
    </w:rPr>
  </w:style>
  <w:style w:type="character" w:styleId="BookTitle">
    <w:name w:val="Book Title"/>
    <w:basedOn w:val="DefaultParagraphFont"/>
    <w:uiPriority w:val="33"/>
    <w:qFormat/>
    <w:rsid w:val="00E8022B"/>
    <w:rPr>
      <w:rFonts w:ascii="Akkurat-Bold" w:hAnsi="Akkurat-Bold"/>
      <w:b/>
      <w:bCs/>
      <w:i/>
      <w:iCs/>
      <w:spacing w:val="5"/>
    </w:rPr>
  </w:style>
  <w:style w:type="paragraph" w:styleId="ListParagraph">
    <w:name w:val="List Paragraph"/>
    <w:basedOn w:val="Normal"/>
    <w:uiPriority w:val="34"/>
    <w:qFormat/>
    <w:rsid w:val="00E8022B"/>
    <w:pPr>
      <w:ind w:left="720"/>
      <w:contextualSpacing/>
    </w:pPr>
  </w:style>
  <w:style w:type="paragraph" w:styleId="TOCHeading">
    <w:name w:val="TOC Heading"/>
    <w:basedOn w:val="Heading1"/>
    <w:next w:val="Normal"/>
    <w:uiPriority w:val="39"/>
    <w:semiHidden/>
    <w:unhideWhenUsed/>
    <w:qFormat/>
    <w:rsid w:val="00E8022B"/>
    <w:pPr>
      <w:outlineLvl w:val="9"/>
    </w:pPr>
    <w:rPr>
      <w:rFonts w:ascii="Akkurat-Light" w:hAnsi="Akkurat-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arriet.posner/Library/Group%20Containers/UBF8T346G9.Office/User%20Content.localized/Templates.localized/Doc4.dotx" TargetMode="External"/></Relationships>
</file>

<file path=word/theme/theme1.xml><?xml version="1.0" encoding="utf-8"?>
<a:theme xmlns:a="http://schemas.openxmlformats.org/drawingml/2006/main" name="Office Theme">
  <a:themeElements>
    <a:clrScheme name="CNC Theme">
      <a:dk1>
        <a:srgbClr val="000000"/>
      </a:dk1>
      <a:lt1>
        <a:srgbClr val="FFFFFF"/>
      </a:lt1>
      <a:dk2>
        <a:srgbClr val="44546A"/>
      </a:dk2>
      <a:lt2>
        <a:srgbClr val="E7E6E6"/>
      </a:lt2>
      <a:accent1>
        <a:srgbClr val="B4D5DF"/>
      </a:accent1>
      <a:accent2>
        <a:srgbClr val="D6BDC4"/>
      </a:accent2>
      <a:accent3>
        <a:srgbClr val="A5A5A5"/>
      </a:accent3>
      <a:accent4>
        <a:srgbClr val="698B94"/>
      </a:accent4>
      <a:accent5>
        <a:srgbClr val="AEADA1"/>
      </a:accent5>
      <a:accent6>
        <a:srgbClr val="828073"/>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//Users/harriet.posner/Library/Group Containers/UBF8T346G9.Office/User Content.localized/Templates.localized/Doc4.dotx</Template>
  <TotalTime>181</TotalTime>
  <Pages>4</Pages>
  <Words>1357</Words>
  <Characters>7738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Jones</cp:lastModifiedBy>
  <cp:revision>112</cp:revision>
  <cp:lastPrinted>2018-08-06T13:37:00Z</cp:lastPrinted>
  <dcterms:created xsi:type="dcterms:W3CDTF">2019-08-19T11:09:00Z</dcterms:created>
  <dcterms:modified xsi:type="dcterms:W3CDTF">2019-09-13T18:38:00Z</dcterms:modified>
  <cp:category/>
</cp:coreProperties>
</file>